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2BF" w:rsidRPr="00626B95" w:rsidRDefault="00D1354E" w:rsidP="00626B95">
      <w:pPr>
        <w:spacing w:line="360" w:lineRule="auto"/>
        <w:jc w:val="both"/>
        <w:rPr>
          <w:b/>
          <w:sz w:val="24"/>
          <w:szCs w:val="24"/>
        </w:rPr>
      </w:pPr>
      <w:r w:rsidRPr="00626B95">
        <w:rPr>
          <w:b/>
          <w:sz w:val="24"/>
          <w:szCs w:val="24"/>
        </w:rPr>
        <w:t>IN THE MATTER OF A PRIVATE PROSECUTION</w:t>
      </w:r>
    </w:p>
    <w:p w:rsidR="00D1354E" w:rsidRPr="00626B95" w:rsidRDefault="00D1354E" w:rsidP="00626B95">
      <w:pPr>
        <w:spacing w:line="360" w:lineRule="auto"/>
        <w:jc w:val="both"/>
        <w:rPr>
          <w:b/>
          <w:sz w:val="24"/>
          <w:szCs w:val="24"/>
        </w:rPr>
      </w:pPr>
      <w:r w:rsidRPr="00626B95">
        <w:rPr>
          <w:b/>
          <w:sz w:val="24"/>
          <w:szCs w:val="24"/>
        </w:rPr>
        <w:t>BETWEEN</w:t>
      </w:r>
      <w:r w:rsidR="00626B95" w:rsidRPr="00626B95">
        <w:rPr>
          <w:b/>
          <w:sz w:val="24"/>
          <w:szCs w:val="24"/>
        </w:rPr>
        <w:t>:</w:t>
      </w:r>
    </w:p>
    <w:p w:rsidR="00D1354E" w:rsidRPr="00626B95" w:rsidRDefault="00D1354E" w:rsidP="00626B95">
      <w:pPr>
        <w:spacing w:line="360" w:lineRule="auto"/>
        <w:jc w:val="both"/>
        <w:rPr>
          <w:b/>
          <w:sz w:val="24"/>
          <w:szCs w:val="24"/>
        </w:rPr>
      </w:pPr>
    </w:p>
    <w:p w:rsidR="00D1354E" w:rsidRPr="00626B95" w:rsidRDefault="00D1354E" w:rsidP="00626B95">
      <w:pPr>
        <w:spacing w:line="360" w:lineRule="auto"/>
        <w:jc w:val="center"/>
        <w:rPr>
          <w:b/>
          <w:sz w:val="24"/>
          <w:szCs w:val="24"/>
        </w:rPr>
      </w:pPr>
      <w:proofErr w:type="spellStart"/>
      <w:r w:rsidRPr="00626B95">
        <w:rPr>
          <w:b/>
          <w:sz w:val="24"/>
          <w:szCs w:val="24"/>
        </w:rPr>
        <w:t>REALTIME</w:t>
      </w:r>
      <w:proofErr w:type="spellEnd"/>
      <w:r w:rsidRPr="00626B95">
        <w:rPr>
          <w:b/>
          <w:sz w:val="24"/>
          <w:szCs w:val="24"/>
        </w:rPr>
        <w:t xml:space="preserve"> ANALYSIS &amp; NEWS LIMITED [RAN]</w:t>
      </w:r>
    </w:p>
    <w:p w:rsidR="00D1354E" w:rsidRPr="00626B95" w:rsidRDefault="00D1354E" w:rsidP="00626B95">
      <w:pPr>
        <w:spacing w:line="360" w:lineRule="auto"/>
        <w:jc w:val="center"/>
        <w:rPr>
          <w:b/>
          <w:sz w:val="24"/>
          <w:szCs w:val="24"/>
        </w:rPr>
      </w:pPr>
      <w:r w:rsidRPr="00626B95">
        <w:rPr>
          <w:b/>
          <w:sz w:val="24"/>
          <w:szCs w:val="24"/>
        </w:rPr>
        <w:t>V</w:t>
      </w:r>
    </w:p>
    <w:p w:rsidR="00D1354E" w:rsidRPr="00626B95" w:rsidRDefault="00D1354E" w:rsidP="00626B95">
      <w:pPr>
        <w:spacing w:line="360" w:lineRule="auto"/>
        <w:jc w:val="center"/>
        <w:rPr>
          <w:b/>
          <w:sz w:val="24"/>
          <w:szCs w:val="24"/>
        </w:rPr>
      </w:pPr>
      <w:r w:rsidRPr="00626B95">
        <w:rPr>
          <w:b/>
          <w:sz w:val="24"/>
          <w:szCs w:val="24"/>
        </w:rPr>
        <w:t xml:space="preserve">MR </w:t>
      </w:r>
      <w:proofErr w:type="spellStart"/>
      <w:r w:rsidRPr="00626B95">
        <w:rPr>
          <w:b/>
          <w:sz w:val="24"/>
          <w:szCs w:val="24"/>
        </w:rPr>
        <w:t>RANVIR</w:t>
      </w:r>
      <w:proofErr w:type="spellEnd"/>
      <w:r w:rsidRPr="00626B95">
        <w:rPr>
          <w:b/>
          <w:sz w:val="24"/>
          <w:szCs w:val="24"/>
        </w:rPr>
        <w:t xml:space="preserve"> SINGH</w:t>
      </w:r>
    </w:p>
    <w:p w:rsidR="00D1354E" w:rsidRPr="00626B95" w:rsidRDefault="00D1354E" w:rsidP="00626B95">
      <w:pPr>
        <w:spacing w:line="360" w:lineRule="auto"/>
        <w:jc w:val="center"/>
        <w:rPr>
          <w:b/>
          <w:sz w:val="24"/>
          <w:szCs w:val="24"/>
        </w:rPr>
      </w:pPr>
      <w:r w:rsidRPr="00626B95">
        <w:rPr>
          <w:b/>
          <w:sz w:val="24"/>
          <w:szCs w:val="24"/>
        </w:rPr>
        <w:t>AND</w:t>
      </w:r>
    </w:p>
    <w:p w:rsidR="00D1354E" w:rsidRPr="00626B95" w:rsidRDefault="00D1354E" w:rsidP="00626B95">
      <w:pPr>
        <w:spacing w:line="360" w:lineRule="auto"/>
        <w:jc w:val="center"/>
        <w:rPr>
          <w:b/>
          <w:sz w:val="24"/>
          <w:szCs w:val="24"/>
        </w:rPr>
      </w:pPr>
      <w:r w:rsidRPr="00626B95">
        <w:rPr>
          <w:b/>
          <w:sz w:val="24"/>
          <w:szCs w:val="24"/>
        </w:rPr>
        <w:t>MRS SONIA SINGH</w:t>
      </w:r>
    </w:p>
    <w:p w:rsidR="00D1354E" w:rsidRPr="00626B95" w:rsidRDefault="00D1354E" w:rsidP="00626B95">
      <w:pPr>
        <w:spacing w:line="360" w:lineRule="auto"/>
        <w:jc w:val="center"/>
        <w:rPr>
          <w:b/>
          <w:sz w:val="24"/>
          <w:szCs w:val="24"/>
        </w:rPr>
      </w:pPr>
    </w:p>
    <w:p w:rsidR="00D1354E" w:rsidRPr="00626B95" w:rsidRDefault="00D1354E" w:rsidP="00626B95">
      <w:pPr>
        <w:spacing w:line="360" w:lineRule="auto"/>
        <w:jc w:val="center"/>
        <w:rPr>
          <w:b/>
          <w:sz w:val="24"/>
          <w:szCs w:val="24"/>
        </w:rPr>
      </w:pPr>
      <w:r w:rsidRPr="00626B95">
        <w:rPr>
          <w:b/>
          <w:sz w:val="24"/>
          <w:szCs w:val="24"/>
        </w:rPr>
        <w:t>ADVICE</w:t>
      </w:r>
    </w:p>
    <w:p w:rsidR="0030670C" w:rsidRDefault="0030670C" w:rsidP="00626B95">
      <w:pPr>
        <w:spacing w:line="360" w:lineRule="auto"/>
        <w:jc w:val="both"/>
        <w:rPr>
          <w:sz w:val="24"/>
          <w:szCs w:val="24"/>
        </w:rPr>
      </w:pPr>
      <w:r>
        <w:rPr>
          <w:sz w:val="24"/>
          <w:szCs w:val="24"/>
        </w:rPr>
        <w:tab/>
      </w:r>
    </w:p>
    <w:p w:rsidR="00D1354E" w:rsidRPr="0030670C" w:rsidRDefault="0030670C" w:rsidP="0030670C">
      <w:pPr>
        <w:spacing w:line="360" w:lineRule="auto"/>
        <w:ind w:firstLine="720"/>
        <w:jc w:val="both"/>
        <w:rPr>
          <w:b/>
          <w:sz w:val="24"/>
          <w:szCs w:val="24"/>
        </w:rPr>
      </w:pPr>
      <w:r w:rsidRPr="0030670C">
        <w:rPr>
          <w:b/>
          <w:sz w:val="24"/>
          <w:szCs w:val="24"/>
        </w:rPr>
        <w:t>INTRODUCTION</w:t>
      </w:r>
    </w:p>
    <w:p w:rsidR="00D1354E" w:rsidRDefault="00D1354E" w:rsidP="00626B95">
      <w:pPr>
        <w:pStyle w:val="ListParagraph"/>
        <w:numPr>
          <w:ilvl w:val="0"/>
          <w:numId w:val="1"/>
        </w:numPr>
        <w:spacing w:line="360" w:lineRule="auto"/>
        <w:jc w:val="both"/>
        <w:rPr>
          <w:sz w:val="24"/>
          <w:szCs w:val="24"/>
        </w:rPr>
      </w:pPr>
      <w:r w:rsidRPr="00626B95">
        <w:rPr>
          <w:sz w:val="24"/>
          <w:szCs w:val="24"/>
        </w:rPr>
        <w:t>I am asked to advise RAN as to the merits of bringing a private prosecution against Mr and Mrs Singh for criminal offences under the Fraud Act 2006.  In my opinion whilst cases of fraud against each of them can be made out it is more probable than no</w:t>
      </w:r>
      <w:r w:rsidR="0030670C">
        <w:rPr>
          <w:sz w:val="24"/>
          <w:szCs w:val="24"/>
        </w:rPr>
        <w:t>t that any such proceedings would</w:t>
      </w:r>
      <w:r w:rsidRPr="00626B95">
        <w:rPr>
          <w:sz w:val="24"/>
          <w:szCs w:val="24"/>
        </w:rPr>
        <w:t xml:space="preserve"> be </w:t>
      </w:r>
      <w:r w:rsidR="0030670C">
        <w:rPr>
          <w:sz w:val="24"/>
          <w:szCs w:val="24"/>
        </w:rPr>
        <w:t xml:space="preserve">discontinued by the CPS or </w:t>
      </w:r>
      <w:r w:rsidRPr="00626B95">
        <w:rPr>
          <w:sz w:val="24"/>
          <w:szCs w:val="24"/>
        </w:rPr>
        <w:t>stayed as an abuse of the process of the court if a court could be persuaded to issue a summons in the first place.</w:t>
      </w:r>
    </w:p>
    <w:p w:rsidR="00626B95" w:rsidRDefault="00626B95" w:rsidP="00626B95">
      <w:pPr>
        <w:pStyle w:val="ListParagraph"/>
        <w:spacing w:line="360" w:lineRule="auto"/>
        <w:jc w:val="both"/>
        <w:rPr>
          <w:sz w:val="24"/>
          <w:szCs w:val="24"/>
        </w:rPr>
      </w:pPr>
    </w:p>
    <w:p w:rsidR="0030670C" w:rsidRPr="0030670C" w:rsidRDefault="0030670C" w:rsidP="00626B95">
      <w:pPr>
        <w:pStyle w:val="ListParagraph"/>
        <w:spacing w:line="360" w:lineRule="auto"/>
        <w:jc w:val="both"/>
        <w:rPr>
          <w:b/>
          <w:sz w:val="24"/>
          <w:szCs w:val="24"/>
        </w:rPr>
      </w:pPr>
      <w:r w:rsidRPr="0030670C">
        <w:rPr>
          <w:b/>
          <w:sz w:val="24"/>
          <w:szCs w:val="24"/>
        </w:rPr>
        <w:t>BACKGROUND</w:t>
      </w:r>
    </w:p>
    <w:p w:rsidR="00D1354E" w:rsidRDefault="00D1354E" w:rsidP="00626B95">
      <w:pPr>
        <w:pStyle w:val="ListParagraph"/>
        <w:numPr>
          <w:ilvl w:val="0"/>
          <w:numId w:val="1"/>
        </w:numPr>
        <w:spacing w:line="360" w:lineRule="auto"/>
        <w:jc w:val="both"/>
        <w:rPr>
          <w:sz w:val="24"/>
          <w:szCs w:val="24"/>
        </w:rPr>
      </w:pPr>
      <w:r w:rsidRPr="00626B95">
        <w:rPr>
          <w:sz w:val="24"/>
          <w:szCs w:val="24"/>
        </w:rPr>
        <w:t xml:space="preserve">In March 2016 RAN brought proceedings in the Queen’s Bench Division of the High Court against Mr and Mrs Singh and others.  </w:t>
      </w:r>
      <w:r w:rsidRPr="00626B95">
        <w:rPr>
          <w:sz w:val="24"/>
          <w:szCs w:val="24"/>
        </w:rPr>
        <w:t>T</w:t>
      </w:r>
      <w:r w:rsidRPr="00626B95">
        <w:rPr>
          <w:sz w:val="24"/>
          <w:szCs w:val="24"/>
        </w:rPr>
        <w:t>he t</w:t>
      </w:r>
      <w:r w:rsidRPr="00626B95">
        <w:rPr>
          <w:sz w:val="24"/>
          <w:szCs w:val="24"/>
        </w:rPr>
        <w:t xml:space="preserve">otal </w:t>
      </w:r>
      <w:r w:rsidRPr="00626B95">
        <w:rPr>
          <w:sz w:val="24"/>
          <w:szCs w:val="24"/>
        </w:rPr>
        <w:t xml:space="preserve">value of the </w:t>
      </w:r>
      <w:r w:rsidRPr="00626B95">
        <w:rPr>
          <w:sz w:val="24"/>
          <w:szCs w:val="24"/>
        </w:rPr>
        <w:t>claim</w:t>
      </w:r>
      <w:r w:rsidRPr="00626B95">
        <w:rPr>
          <w:sz w:val="24"/>
          <w:szCs w:val="24"/>
        </w:rPr>
        <w:t xml:space="preserve"> was said to be </w:t>
      </w:r>
      <w:r w:rsidRPr="00626B95">
        <w:rPr>
          <w:sz w:val="24"/>
          <w:szCs w:val="24"/>
        </w:rPr>
        <w:t>in excess of £3,142,217</w:t>
      </w:r>
      <w:r w:rsidR="00626B95">
        <w:rPr>
          <w:sz w:val="24"/>
          <w:szCs w:val="24"/>
        </w:rPr>
        <w:t>.</w:t>
      </w:r>
    </w:p>
    <w:p w:rsidR="00626B95" w:rsidRPr="00626B95" w:rsidRDefault="00626B95" w:rsidP="00626B95">
      <w:pPr>
        <w:pStyle w:val="ListParagraph"/>
        <w:rPr>
          <w:sz w:val="24"/>
          <w:szCs w:val="24"/>
        </w:rPr>
      </w:pPr>
    </w:p>
    <w:p w:rsidR="00D1354E" w:rsidRDefault="00D1354E" w:rsidP="00626B95">
      <w:pPr>
        <w:pStyle w:val="ListParagraph"/>
        <w:numPr>
          <w:ilvl w:val="0"/>
          <w:numId w:val="1"/>
        </w:numPr>
        <w:spacing w:line="360" w:lineRule="auto"/>
        <w:jc w:val="both"/>
        <w:rPr>
          <w:sz w:val="24"/>
          <w:szCs w:val="24"/>
        </w:rPr>
      </w:pPr>
      <w:r w:rsidRPr="00626B95">
        <w:rPr>
          <w:sz w:val="24"/>
          <w:szCs w:val="24"/>
        </w:rPr>
        <w:t xml:space="preserve">On </w:t>
      </w:r>
      <w:r w:rsidRPr="00626B95">
        <w:rPr>
          <w:sz w:val="24"/>
          <w:szCs w:val="24"/>
        </w:rPr>
        <w:t>31</w:t>
      </w:r>
      <w:r w:rsidRPr="00626B95">
        <w:rPr>
          <w:sz w:val="24"/>
          <w:szCs w:val="24"/>
          <w:vertAlign w:val="superscript"/>
        </w:rPr>
        <w:t>st</w:t>
      </w:r>
      <w:r w:rsidRPr="00626B95">
        <w:rPr>
          <w:sz w:val="24"/>
          <w:szCs w:val="24"/>
        </w:rPr>
        <w:t xml:space="preserve"> May 2016</w:t>
      </w:r>
      <w:r w:rsidRPr="00626B95">
        <w:rPr>
          <w:sz w:val="24"/>
          <w:szCs w:val="24"/>
        </w:rPr>
        <w:t xml:space="preserve"> a </w:t>
      </w:r>
      <w:r w:rsidRPr="00626B95">
        <w:rPr>
          <w:sz w:val="24"/>
          <w:szCs w:val="24"/>
        </w:rPr>
        <w:t xml:space="preserve">settlement agreement </w:t>
      </w:r>
      <w:r w:rsidR="00626B95" w:rsidRPr="00626B95">
        <w:rPr>
          <w:sz w:val="24"/>
          <w:szCs w:val="24"/>
        </w:rPr>
        <w:t xml:space="preserve">was reached </w:t>
      </w:r>
      <w:r w:rsidRPr="00626B95">
        <w:rPr>
          <w:sz w:val="24"/>
          <w:szCs w:val="24"/>
        </w:rPr>
        <w:t>in respect of th</w:t>
      </w:r>
      <w:r w:rsidR="00626B95" w:rsidRPr="00626B95">
        <w:rPr>
          <w:sz w:val="24"/>
          <w:szCs w:val="24"/>
        </w:rPr>
        <w:t xml:space="preserve">is </w:t>
      </w:r>
      <w:r w:rsidRPr="00626B95">
        <w:rPr>
          <w:sz w:val="24"/>
          <w:szCs w:val="24"/>
        </w:rPr>
        <w:t>first action</w:t>
      </w:r>
      <w:r w:rsidR="00626B95" w:rsidRPr="00626B95">
        <w:rPr>
          <w:sz w:val="24"/>
          <w:szCs w:val="24"/>
        </w:rPr>
        <w:t xml:space="preserve">.  </w:t>
      </w:r>
      <w:r w:rsidRPr="00626B95">
        <w:rPr>
          <w:sz w:val="24"/>
          <w:szCs w:val="24"/>
        </w:rPr>
        <w:t xml:space="preserve">Clause 9 </w:t>
      </w:r>
      <w:r w:rsidR="00626B95" w:rsidRPr="00626B95">
        <w:rPr>
          <w:sz w:val="24"/>
          <w:szCs w:val="24"/>
        </w:rPr>
        <w:t>thereof contained a non-prosecution</w:t>
      </w:r>
      <w:r w:rsidRPr="00626B95">
        <w:rPr>
          <w:sz w:val="24"/>
          <w:szCs w:val="24"/>
        </w:rPr>
        <w:t xml:space="preserve"> agreement in respect of </w:t>
      </w:r>
      <w:r w:rsidR="00626B95" w:rsidRPr="00626B95">
        <w:rPr>
          <w:sz w:val="24"/>
          <w:szCs w:val="24"/>
        </w:rPr>
        <w:t xml:space="preserve">any future </w:t>
      </w:r>
      <w:r w:rsidRPr="00626B95">
        <w:rPr>
          <w:sz w:val="24"/>
          <w:szCs w:val="24"/>
        </w:rPr>
        <w:t>claims</w:t>
      </w:r>
      <w:r w:rsidR="00626B95" w:rsidRPr="00626B95">
        <w:rPr>
          <w:sz w:val="24"/>
          <w:szCs w:val="24"/>
        </w:rPr>
        <w:t xml:space="preserve"> as defined by c</w:t>
      </w:r>
      <w:r w:rsidRPr="00626B95">
        <w:rPr>
          <w:sz w:val="24"/>
          <w:szCs w:val="24"/>
        </w:rPr>
        <w:t>lause 1.11</w:t>
      </w:r>
      <w:r w:rsidR="00626B95" w:rsidRPr="00626B95">
        <w:rPr>
          <w:sz w:val="24"/>
          <w:szCs w:val="24"/>
        </w:rPr>
        <w:t xml:space="preserve"> of the agreement.</w:t>
      </w:r>
    </w:p>
    <w:p w:rsidR="00626B95" w:rsidRPr="00626B95" w:rsidRDefault="00626B95" w:rsidP="00626B95">
      <w:pPr>
        <w:pStyle w:val="ListParagraph"/>
        <w:rPr>
          <w:sz w:val="24"/>
          <w:szCs w:val="24"/>
        </w:rPr>
      </w:pPr>
    </w:p>
    <w:p w:rsidR="00D1354E" w:rsidRDefault="00626B95" w:rsidP="00626B95">
      <w:pPr>
        <w:pStyle w:val="ListParagraph"/>
        <w:numPr>
          <w:ilvl w:val="0"/>
          <w:numId w:val="1"/>
        </w:numPr>
        <w:spacing w:line="360" w:lineRule="auto"/>
        <w:jc w:val="both"/>
        <w:rPr>
          <w:sz w:val="24"/>
          <w:szCs w:val="24"/>
        </w:rPr>
      </w:pPr>
      <w:r w:rsidRPr="00626B95">
        <w:rPr>
          <w:sz w:val="24"/>
          <w:szCs w:val="24"/>
        </w:rPr>
        <w:t>At c</w:t>
      </w:r>
      <w:r w:rsidR="00D1354E" w:rsidRPr="00626B95">
        <w:rPr>
          <w:sz w:val="24"/>
          <w:szCs w:val="24"/>
        </w:rPr>
        <w:t>lause 19</w:t>
      </w:r>
      <w:r w:rsidRPr="00626B95">
        <w:rPr>
          <w:sz w:val="24"/>
          <w:szCs w:val="24"/>
        </w:rPr>
        <w:t xml:space="preserve"> there was an agreement about </w:t>
      </w:r>
      <w:r w:rsidR="00D1354E" w:rsidRPr="00626B95">
        <w:rPr>
          <w:sz w:val="24"/>
          <w:szCs w:val="24"/>
        </w:rPr>
        <w:t>n</w:t>
      </w:r>
      <w:r w:rsidRPr="00626B95">
        <w:rPr>
          <w:sz w:val="24"/>
          <w:szCs w:val="24"/>
        </w:rPr>
        <w:t>on disparaging statements.</w:t>
      </w:r>
    </w:p>
    <w:p w:rsidR="00626B95" w:rsidRDefault="00626B95" w:rsidP="00626B95">
      <w:pPr>
        <w:pStyle w:val="ListParagraph"/>
        <w:numPr>
          <w:ilvl w:val="0"/>
          <w:numId w:val="1"/>
        </w:numPr>
        <w:spacing w:line="360" w:lineRule="auto"/>
        <w:jc w:val="both"/>
        <w:rPr>
          <w:sz w:val="24"/>
          <w:szCs w:val="24"/>
        </w:rPr>
      </w:pPr>
      <w:r w:rsidRPr="00626B95">
        <w:rPr>
          <w:sz w:val="24"/>
          <w:szCs w:val="24"/>
        </w:rPr>
        <w:lastRenderedPageBreak/>
        <w:t>The s</w:t>
      </w:r>
      <w:r w:rsidR="00D1354E" w:rsidRPr="00626B95">
        <w:rPr>
          <w:sz w:val="24"/>
          <w:szCs w:val="24"/>
        </w:rPr>
        <w:t xml:space="preserve">ettlement sum </w:t>
      </w:r>
      <w:r w:rsidRPr="00626B95">
        <w:rPr>
          <w:sz w:val="24"/>
          <w:szCs w:val="24"/>
        </w:rPr>
        <w:t xml:space="preserve">in the agreement was </w:t>
      </w:r>
      <w:r w:rsidR="00D1354E" w:rsidRPr="00626B95">
        <w:rPr>
          <w:sz w:val="24"/>
          <w:szCs w:val="24"/>
        </w:rPr>
        <w:t>£2,540,057</w:t>
      </w:r>
      <w:r w:rsidRPr="00626B95">
        <w:rPr>
          <w:sz w:val="24"/>
          <w:szCs w:val="24"/>
        </w:rPr>
        <w:t>.  In addition there was a d</w:t>
      </w:r>
      <w:r w:rsidR="00D1354E" w:rsidRPr="00626B95">
        <w:rPr>
          <w:sz w:val="24"/>
          <w:szCs w:val="24"/>
        </w:rPr>
        <w:t xml:space="preserve">iscounted settlement sum </w:t>
      </w:r>
      <w:r w:rsidRPr="00626B95">
        <w:rPr>
          <w:sz w:val="24"/>
          <w:szCs w:val="24"/>
        </w:rPr>
        <w:t xml:space="preserve">of </w:t>
      </w:r>
      <w:r w:rsidR="00D1354E" w:rsidRPr="00626B95">
        <w:rPr>
          <w:sz w:val="24"/>
          <w:szCs w:val="24"/>
        </w:rPr>
        <w:t>£2,040,057</w:t>
      </w:r>
      <w:r w:rsidRPr="00626B95">
        <w:rPr>
          <w:sz w:val="24"/>
          <w:szCs w:val="24"/>
        </w:rPr>
        <w:t xml:space="preserve">.  In accordance with the terms of the settlement agreement </w:t>
      </w:r>
      <w:r w:rsidR="00D1354E" w:rsidRPr="00626B95">
        <w:rPr>
          <w:sz w:val="24"/>
          <w:szCs w:val="24"/>
        </w:rPr>
        <w:t xml:space="preserve">Mrs Singh transferred her shares and Mr &amp; Mrs Singh paid £1,859,630 </w:t>
      </w:r>
      <w:r w:rsidR="00086BE7">
        <w:rPr>
          <w:sz w:val="24"/>
          <w:szCs w:val="24"/>
        </w:rPr>
        <w:t>in satisfaction of</w:t>
      </w:r>
      <w:r w:rsidR="00D1354E" w:rsidRPr="00626B95">
        <w:rPr>
          <w:sz w:val="24"/>
          <w:szCs w:val="24"/>
        </w:rPr>
        <w:t xml:space="preserve"> the </w:t>
      </w:r>
      <w:r w:rsidRPr="00626B95">
        <w:rPr>
          <w:sz w:val="24"/>
          <w:szCs w:val="24"/>
        </w:rPr>
        <w:t>discounted settlement sum</w:t>
      </w:r>
      <w:r w:rsidRPr="00626B95">
        <w:rPr>
          <w:sz w:val="24"/>
          <w:szCs w:val="24"/>
        </w:rPr>
        <w:t>.</w:t>
      </w:r>
      <w:r w:rsidRPr="00626B95">
        <w:rPr>
          <w:sz w:val="24"/>
          <w:szCs w:val="24"/>
        </w:rPr>
        <w:t xml:space="preserve"> </w:t>
      </w:r>
    </w:p>
    <w:p w:rsidR="00626B95" w:rsidRPr="00626B95" w:rsidRDefault="00626B95" w:rsidP="00626B95">
      <w:pPr>
        <w:pStyle w:val="ListParagraph"/>
        <w:rPr>
          <w:sz w:val="24"/>
          <w:szCs w:val="24"/>
        </w:rPr>
      </w:pPr>
    </w:p>
    <w:p w:rsidR="00626B95" w:rsidRDefault="00626B95" w:rsidP="00626B95">
      <w:pPr>
        <w:pStyle w:val="ListParagraph"/>
        <w:numPr>
          <w:ilvl w:val="0"/>
          <w:numId w:val="1"/>
        </w:numPr>
        <w:spacing w:line="360" w:lineRule="auto"/>
        <w:jc w:val="both"/>
        <w:rPr>
          <w:sz w:val="24"/>
          <w:szCs w:val="24"/>
        </w:rPr>
      </w:pPr>
      <w:r w:rsidRPr="00626B95">
        <w:rPr>
          <w:sz w:val="24"/>
          <w:szCs w:val="24"/>
        </w:rPr>
        <w:t xml:space="preserve">On </w:t>
      </w:r>
      <w:r w:rsidR="00D1354E" w:rsidRPr="00626B95">
        <w:rPr>
          <w:sz w:val="24"/>
          <w:szCs w:val="24"/>
        </w:rPr>
        <w:t>31</w:t>
      </w:r>
      <w:r w:rsidR="00D1354E" w:rsidRPr="00626B95">
        <w:rPr>
          <w:sz w:val="24"/>
          <w:szCs w:val="24"/>
          <w:vertAlign w:val="superscript"/>
        </w:rPr>
        <w:t>st</w:t>
      </w:r>
      <w:r w:rsidRPr="00626B95">
        <w:rPr>
          <w:sz w:val="24"/>
          <w:szCs w:val="24"/>
        </w:rPr>
        <w:t xml:space="preserve"> October 2016 RAN commenced a </w:t>
      </w:r>
      <w:r w:rsidR="00D1354E" w:rsidRPr="00626B95">
        <w:rPr>
          <w:sz w:val="24"/>
          <w:szCs w:val="24"/>
        </w:rPr>
        <w:t>second action</w:t>
      </w:r>
      <w:r w:rsidRPr="00626B95">
        <w:rPr>
          <w:sz w:val="24"/>
          <w:szCs w:val="24"/>
        </w:rPr>
        <w:t xml:space="preserve"> against Mr and Mrs Singh</w:t>
      </w:r>
      <w:r w:rsidR="00D1354E" w:rsidRPr="00626B95">
        <w:rPr>
          <w:sz w:val="24"/>
          <w:szCs w:val="24"/>
        </w:rPr>
        <w:t xml:space="preserve"> based upon </w:t>
      </w:r>
      <w:r w:rsidRPr="00626B95">
        <w:rPr>
          <w:sz w:val="24"/>
          <w:szCs w:val="24"/>
        </w:rPr>
        <w:t xml:space="preserve">their </w:t>
      </w:r>
      <w:r w:rsidR="00D1354E" w:rsidRPr="00626B95">
        <w:rPr>
          <w:sz w:val="24"/>
          <w:szCs w:val="24"/>
        </w:rPr>
        <w:t>alleged</w:t>
      </w:r>
      <w:r w:rsidRPr="00626B95">
        <w:rPr>
          <w:sz w:val="24"/>
          <w:szCs w:val="24"/>
        </w:rPr>
        <w:t xml:space="preserve"> breaches of clause 19 of the </w:t>
      </w:r>
      <w:r w:rsidRPr="00626B95">
        <w:rPr>
          <w:sz w:val="24"/>
          <w:szCs w:val="24"/>
        </w:rPr>
        <w:t>settlement agreement</w:t>
      </w:r>
      <w:r w:rsidRPr="00626B95">
        <w:rPr>
          <w:sz w:val="24"/>
          <w:szCs w:val="24"/>
        </w:rPr>
        <w:t>.  The n</w:t>
      </w:r>
      <w:r w:rsidR="00D1354E" w:rsidRPr="00626B95">
        <w:rPr>
          <w:sz w:val="24"/>
          <w:szCs w:val="24"/>
        </w:rPr>
        <w:t xml:space="preserve">et value of second action </w:t>
      </w:r>
      <w:r w:rsidRPr="00626B95">
        <w:rPr>
          <w:sz w:val="24"/>
          <w:szCs w:val="24"/>
        </w:rPr>
        <w:t>is said to be at</w:t>
      </w:r>
      <w:r w:rsidR="00D1354E" w:rsidRPr="00626B95">
        <w:rPr>
          <w:sz w:val="24"/>
          <w:szCs w:val="24"/>
        </w:rPr>
        <w:t xml:space="preserve"> least £2,128,596</w:t>
      </w:r>
      <w:r w:rsidRPr="00626B95">
        <w:rPr>
          <w:sz w:val="24"/>
          <w:szCs w:val="24"/>
        </w:rPr>
        <w:t>.</w:t>
      </w:r>
    </w:p>
    <w:p w:rsidR="00086BE7" w:rsidRPr="00086BE7" w:rsidRDefault="00086BE7" w:rsidP="00086BE7">
      <w:pPr>
        <w:pStyle w:val="ListParagraph"/>
        <w:rPr>
          <w:sz w:val="24"/>
          <w:szCs w:val="24"/>
        </w:rPr>
      </w:pPr>
    </w:p>
    <w:p w:rsidR="00626B95" w:rsidRDefault="00D1354E" w:rsidP="00626B95">
      <w:pPr>
        <w:pStyle w:val="ListParagraph"/>
        <w:numPr>
          <w:ilvl w:val="0"/>
          <w:numId w:val="1"/>
        </w:numPr>
        <w:spacing w:line="360" w:lineRule="auto"/>
        <w:jc w:val="both"/>
        <w:rPr>
          <w:sz w:val="24"/>
          <w:szCs w:val="24"/>
        </w:rPr>
      </w:pPr>
      <w:r w:rsidRPr="00626B95">
        <w:rPr>
          <w:sz w:val="24"/>
          <w:szCs w:val="24"/>
        </w:rPr>
        <w:t>The contemplated private prosecution lies in respect of the original claim (the first action) which was settled on 31</w:t>
      </w:r>
      <w:r w:rsidRPr="00626B95">
        <w:rPr>
          <w:sz w:val="24"/>
          <w:szCs w:val="24"/>
          <w:vertAlign w:val="superscript"/>
        </w:rPr>
        <w:t>st</w:t>
      </w:r>
      <w:r w:rsidRPr="00626B95">
        <w:rPr>
          <w:sz w:val="24"/>
          <w:szCs w:val="24"/>
        </w:rPr>
        <w:t xml:space="preserve"> May 2016 and in respect of which the discounted settlement sum was paid in accordance with the terms of the settlement.</w:t>
      </w:r>
    </w:p>
    <w:p w:rsidR="00086BE7" w:rsidRPr="00086BE7" w:rsidRDefault="00086BE7" w:rsidP="00086BE7">
      <w:pPr>
        <w:pStyle w:val="ListParagraph"/>
        <w:rPr>
          <w:sz w:val="24"/>
          <w:szCs w:val="24"/>
        </w:rPr>
      </w:pPr>
    </w:p>
    <w:p w:rsidR="00626B95" w:rsidRDefault="00D1354E" w:rsidP="00626B95">
      <w:pPr>
        <w:pStyle w:val="ListParagraph"/>
        <w:numPr>
          <w:ilvl w:val="0"/>
          <w:numId w:val="1"/>
        </w:numPr>
        <w:spacing w:line="360" w:lineRule="auto"/>
        <w:jc w:val="both"/>
        <w:rPr>
          <w:sz w:val="24"/>
          <w:szCs w:val="24"/>
        </w:rPr>
      </w:pPr>
      <w:r w:rsidRPr="00626B95">
        <w:rPr>
          <w:sz w:val="24"/>
          <w:szCs w:val="24"/>
        </w:rPr>
        <w:t>Accordingly the primary terms of the settlement agreement were met.</w:t>
      </w:r>
    </w:p>
    <w:p w:rsidR="00086BE7" w:rsidRDefault="00086BE7" w:rsidP="00086BE7">
      <w:pPr>
        <w:pStyle w:val="ListParagraph"/>
        <w:rPr>
          <w:sz w:val="24"/>
          <w:szCs w:val="24"/>
        </w:rPr>
      </w:pPr>
    </w:p>
    <w:p w:rsidR="0030670C" w:rsidRPr="0030670C" w:rsidRDefault="0030670C" w:rsidP="00086BE7">
      <w:pPr>
        <w:pStyle w:val="ListParagraph"/>
        <w:rPr>
          <w:b/>
          <w:sz w:val="24"/>
          <w:szCs w:val="24"/>
        </w:rPr>
      </w:pPr>
      <w:r w:rsidRPr="0030670C">
        <w:rPr>
          <w:b/>
          <w:sz w:val="24"/>
          <w:szCs w:val="24"/>
        </w:rPr>
        <w:t>ANALYSIS</w:t>
      </w:r>
    </w:p>
    <w:p w:rsidR="00626B95" w:rsidRDefault="00D1354E" w:rsidP="00626B95">
      <w:pPr>
        <w:pStyle w:val="ListParagraph"/>
        <w:numPr>
          <w:ilvl w:val="0"/>
          <w:numId w:val="1"/>
        </w:numPr>
        <w:spacing w:line="360" w:lineRule="auto"/>
        <w:jc w:val="both"/>
        <w:rPr>
          <w:sz w:val="24"/>
          <w:szCs w:val="24"/>
        </w:rPr>
      </w:pPr>
      <w:r w:rsidRPr="00626B95">
        <w:rPr>
          <w:sz w:val="24"/>
          <w:szCs w:val="24"/>
        </w:rPr>
        <w:t>By virtue of clause 9 of the settlement agreement each party agreed not to prosecute or cause to be prosecuted any action concerning the claims as defined in clause 1.11; this clause was widely drawn in relation to the issued claims which were the subject of the first action and which were the subject of the settlement agreement.</w:t>
      </w:r>
      <w:r w:rsidR="00086BE7">
        <w:rPr>
          <w:sz w:val="24"/>
          <w:szCs w:val="24"/>
        </w:rPr>
        <w:t xml:space="preserve">  Significantly, clause 9 did not contain a ‘get out’ clause which either party </w:t>
      </w:r>
      <w:r w:rsidR="0030670C">
        <w:rPr>
          <w:sz w:val="24"/>
          <w:szCs w:val="24"/>
        </w:rPr>
        <w:t>could</w:t>
      </w:r>
      <w:r w:rsidR="00086BE7">
        <w:rPr>
          <w:sz w:val="24"/>
          <w:szCs w:val="24"/>
        </w:rPr>
        <w:t xml:space="preserve"> have sought to rely upon in the event of the other party breaching a material clause of the agreement.</w:t>
      </w:r>
    </w:p>
    <w:p w:rsidR="00086BE7" w:rsidRPr="00086BE7" w:rsidRDefault="00086BE7" w:rsidP="00086BE7">
      <w:pPr>
        <w:pStyle w:val="ListParagraph"/>
        <w:rPr>
          <w:sz w:val="24"/>
          <w:szCs w:val="24"/>
        </w:rPr>
      </w:pPr>
    </w:p>
    <w:p w:rsidR="00086BE7" w:rsidRDefault="00086BE7" w:rsidP="00626B95">
      <w:pPr>
        <w:pStyle w:val="ListParagraph"/>
        <w:numPr>
          <w:ilvl w:val="0"/>
          <w:numId w:val="1"/>
        </w:numPr>
        <w:spacing w:line="360" w:lineRule="auto"/>
        <w:jc w:val="both"/>
        <w:rPr>
          <w:sz w:val="24"/>
          <w:szCs w:val="24"/>
        </w:rPr>
      </w:pPr>
      <w:r>
        <w:rPr>
          <w:sz w:val="24"/>
          <w:szCs w:val="24"/>
        </w:rPr>
        <w:t xml:space="preserve">Accordingly the parties’ intentions can plainly be inferred as being to bring an end to the first action subject to the </w:t>
      </w:r>
      <w:r>
        <w:rPr>
          <w:sz w:val="24"/>
          <w:szCs w:val="24"/>
        </w:rPr>
        <w:t>discounted settlement sum</w:t>
      </w:r>
      <w:r>
        <w:rPr>
          <w:sz w:val="24"/>
          <w:szCs w:val="24"/>
        </w:rPr>
        <w:t xml:space="preserve"> or the </w:t>
      </w:r>
      <w:r>
        <w:rPr>
          <w:sz w:val="24"/>
          <w:szCs w:val="24"/>
        </w:rPr>
        <w:t>settlement sum</w:t>
      </w:r>
      <w:r>
        <w:rPr>
          <w:sz w:val="24"/>
          <w:szCs w:val="24"/>
        </w:rPr>
        <w:t xml:space="preserve"> being paid.</w:t>
      </w:r>
    </w:p>
    <w:p w:rsidR="00086BE7" w:rsidRPr="00086BE7" w:rsidRDefault="00086BE7" w:rsidP="00086BE7">
      <w:pPr>
        <w:pStyle w:val="ListParagraph"/>
        <w:rPr>
          <w:sz w:val="24"/>
          <w:szCs w:val="24"/>
        </w:rPr>
      </w:pPr>
    </w:p>
    <w:p w:rsidR="00626B95" w:rsidRDefault="00D1354E" w:rsidP="00626B95">
      <w:pPr>
        <w:pStyle w:val="ListParagraph"/>
        <w:numPr>
          <w:ilvl w:val="0"/>
          <w:numId w:val="1"/>
        </w:numPr>
        <w:spacing w:line="360" w:lineRule="auto"/>
        <w:jc w:val="both"/>
        <w:rPr>
          <w:sz w:val="24"/>
          <w:szCs w:val="24"/>
        </w:rPr>
      </w:pPr>
      <w:r w:rsidRPr="00626B95">
        <w:rPr>
          <w:sz w:val="24"/>
          <w:szCs w:val="24"/>
        </w:rPr>
        <w:t xml:space="preserve">There is a distinction </w:t>
      </w:r>
      <w:r w:rsidR="00052E48">
        <w:rPr>
          <w:sz w:val="24"/>
          <w:szCs w:val="24"/>
        </w:rPr>
        <w:t xml:space="preserve">to be drawn </w:t>
      </w:r>
      <w:r w:rsidRPr="00626B95">
        <w:rPr>
          <w:sz w:val="24"/>
          <w:szCs w:val="24"/>
        </w:rPr>
        <w:t xml:space="preserve">between the second action which is for deceit (misrepresentation in the alternative) in respect of the actions of the Ds in causing RAN to enter into the settlement agreement and re-litigating the first action via the criminal courts when the </w:t>
      </w:r>
      <w:r w:rsidR="00086BE7">
        <w:rPr>
          <w:sz w:val="24"/>
          <w:szCs w:val="24"/>
        </w:rPr>
        <w:t xml:space="preserve">discounted settlement sum </w:t>
      </w:r>
      <w:r w:rsidRPr="00626B95">
        <w:rPr>
          <w:sz w:val="24"/>
          <w:szCs w:val="24"/>
        </w:rPr>
        <w:t>has been paid in accordance with the settlement agreement.</w:t>
      </w:r>
    </w:p>
    <w:p w:rsidR="00086BE7" w:rsidRPr="00086BE7" w:rsidRDefault="00086BE7" w:rsidP="00086BE7">
      <w:pPr>
        <w:pStyle w:val="ListParagraph"/>
        <w:rPr>
          <w:sz w:val="24"/>
          <w:szCs w:val="24"/>
        </w:rPr>
      </w:pPr>
    </w:p>
    <w:p w:rsidR="00D1354E" w:rsidRPr="00626B95" w:rsidRDefault="00D1354E" w:rsidP="00626B95">
      <w:pPr>
        <w:pStyle w:val="ListParagraph"/>
        <w:numPr>
          <w:ilvl w:val="0"/>
          <w:numId w:val="1"/>
        </w:numPr>
        <w:spacing w:line="360" w:lineRule="auto"/>
        <w:jc w:val="both"/>
        <w:rPr>
          <w:sz w:val="24"/>
          <w:szCs w:val="24"/>
        </w:rPr>
      </w:pPr>
      <w:r w:rsidRPr="00626B95">
        <w:rPr>
          <w:sz w:val="24"/>
          <w:szCs w:val="24"/>
        </w:rPr>
        <w:t>There is a very strong argument that the latter amounts to an abuse of the process</w:t>
      </w:r>
      <w:r w:rsidR="00052E48">
        <w:rPr>
          <w:sz w:val="24"/>
          <w:szCs w:val="24"/>
        </w:rPr>
        <w:t xml:space="preserve"> of the court and that a stay would be</w:t>
      </w:r>
      <w:r w:rsidRPr="00626B95">
        <w:rPr>
          <w:sz w:val="24"/>
          <w:szCs w:val="24"/>
        </w:rPr>
        <w:t xml:space="preserve"> necessary to protect the integrity of the criminal justice system because:</w:t>
      </w:r>
    </w:p>
    <w:p w:rsidR="00D1354E" w:rsidRPr="00626B95" w:rsidRDefault="00D1354E" w:rsidP="00626B95">
      <w:pPr>
        <w:pStyle w:val="ListParagraph"/>
        <w:numPr>
          <w:ilvl w:val="0"/>
          <w:numId w:val="2"/>
        </w:numPr>
        <w:spacing w:line="360" w:lineRule="auto"/>
        <w:jc w:val="both"/>
        <w:rPr>
          <w:sz w:val="24"/>
          <w:szCs w:val="24"/>
        </w:rPr>
      </w:pPr>
      <w:r w:rsidRPr="00626B95">
        <w:rPr>
          <w:sz w:val="24"/>
          <w:szCs w:val="24"/>
        </w:rPr>
        <w:t>There have been previous proceedings.  As this case has already been litigated in the High Court it is arguable that a private prosecution constitutes a collateral challenge to a previous agreement which has already been settled;</w:t>
      </w:r>
      <w:r w:rsidR="00052E48">
        <w:rPr>
          <w:sz w:val="24"/>
          <w:szCs w:val="24"/>
        </w:rPr>
        <w:t xml:space="preserve"> and,</w:t>
      </w:r>
    </w:p>
    <w:p w:rsidR="00D1354E" w:rsidRDefault="00D1354E" w:rsidP="00626B95">
      <w:pPr>
        <w:pStyle w:val="ListParagraph"/>
        <w:numPr>
          <w:ilvl w:val="0"/>
          <w:numId w:val="2"/>
        </w:numPr>
        <w:spacing w:line="360" w:lineRule="auto"/>
        <w:jc w:val="both"/>
        <w:rPr>
          <w:sz w:val="24"/>
          <w:szCs w:val="24"/>
        </w:rPr>
      </w:pPr>
      <w:r w:rsidRPr="00626B95">
        <w:rPr>
          <w:sz w:val="24"/>
          <w:szCs w:val="24"/>
        </w:rPr>
        <w:t>The private prosecution appears to be for a potentially improper purpose, namely to attempt to exert pressure in parallel p</w:t>
      </w:r>
      <w:r w:rsidR="00052E48">
        <w:rPr>
          <w:sz w:val="24"/>
          <w:szCs w:val="24"/>
        </w:rPr>
        <w:t>roceedings (the second action).  A</w:t>
      </w:r>
      <w:r w:rsidRPr="00626B95">
        <w:rPr>
          <w:sz w:val="24"/>
          <w:szCs w:val="24"/>
        </w:rPr>
        <w:t>s such it would offend the court’s sense of justice for the prosecution to proceed.</w:t>
      </w:r>
    </w:p>
    <w:p w:rsidR="00086BE7" w:rsidRPr="00626B95" w:rsidRDefault="00086BE7" w:rsidP="00086BE7">
      <w:pPr>
        <w:pStyle w:val="ListParagraph"/>
        <w:spacing w:line="360" w:lineRule="auto"/>
        <w:ind w:left="1080"/>
        <w:jc w:val="both"/>
        <w:rPr>
          <w:sz w:val="24"/>
          <w:szCs w:val="24"/>
        </w:rPr>
      </w:pPr>
    </w:p>
    <w:p w:rsidR="00086BE7" w:rsidRDefault="00086BE7" w:rsidP="00086BE7">
      <w:pPr>
        <w:pStyle w:val="ListParagraph"/>
        <w:numPr>
          <w:ilvl w:val="0"/>
          <w:numId w:val="1"/>
        </w:numPr>
        <w:spacing w:line="360" w:lineRule="auto"/>
        <w:jc w:val="both"/>
        <w:rPr>
          <w:sz w:val="24"/>
          <w:szCs w:val="24"/>
        </w:rPr>
      </w:pPr>
      <w:r w:rsidRPr="00086BE7">
        <w:rPr>
          <w:sz w:val="24"/>
          <w:szCs w:val="24"/>
        </w:rPr>
        <w:t>Accordingly</w:t>
      </w:r>
      <w:r w:rsidR="00DD6304">
        <w:rPr>
          <w:sz w:val="24"/>
          <w:szCs w:val="24"/>
        </w:rPr>
        <w:t>,</w:t>
      </w:r>
      <w:r w:rsidRPr="00086BE7">
        <w:rPr>
          <w:sz w:val="24"/>
          <w:szCs w:val="24"/>
        </w:rPr>
        <w:t xml:space="preserve"> </w:t>
      </w:r>
      <w:r>
        <w:rPr>
          <w:sz w:val="24"/>
          <w:szCs w:val="24"/>
        </w:rPr>
        <w:t xml:space="preserve">I am of the </w:t>
      </w:r>
      <w:r w:rsidRPr="00086BE7">
        <w:rPr>
          <w:sz w:val="24"/>
          <w:szCs w:val="24"/>
        </w:rPr>
        <w:t xml:space="preserve">opinion </w:t>
      </w:r>
      <w:r>
        <w:rPr>
          <w:sz w:val="24"/>
          <w:szCs w:val="24"/>
        </w:rPr>
        <w:t xml:space="preserve">that even </w:t>
      </w:r>
      <w:r w:rsidRPr="00086BE7">
        <w:rPr>
          <w:sz w:val="24"/>
          <w:szCs w:val="24"/>
        </w:rPr>
        <w:t>if a court could be persuaded to issue a summons in the first place</w:t>
      </w:r>
      <w:r>
        <w:rPr>
          <w:sz w:val="24"/>
          <w:szCs w:val="24"/>
        </w:rPr>
        <w:t xml:space="preserve"> (which I consider unlikely as full disclosure of the terms of the </w:t>
      </w:r>
      <w:r>
        <w:rPr>
          <w:sz w:val="24"/>
          <w:szCs w:val="24"/>
        </w:rPr>
        <w:t xml:space="preserve">settlement agreement </w:t>
      </w:r>
      <w:r w:rsidR="00DD6304">
        <w:rPr>
          <w:sz w:val="24"/>
          <w:szCs w:val="24"/>
        </w:rPr>
        <w:t>would have to be made to the court)</w:t>
      </w:r>
      <w:r w:rsidRPr="00086BE7">
        <w:rPr>
          <w:sz w:val="24"/>
          <w:szCs w:val="24"/>
        </w:rPr>
        <w:t xml:space="preserve"> </w:t>
      </w:r>
      <w:r w:rsidRPr="00086BE7">
        <w:rPr>
          <w:sz w:val="24"/>
          <w:szCs w:val="24"/>
        </w:rPr>
        <w:t>it is more probable than n</w:t>
      </w:r>
      <w:r w:rsidR="00DD6304">
        <w:rPr>
          <w:sz w:val="24"/>
          <w:szCs w:val="24"/>
        </w:rPr>
        <w:t>ot that any such proceedings would</w:t>
      </w:r>
      <w:r w:rsidRPr="00086BE7">
        <w:rPr>
          <w:sz w:val="24"/>
          <w:szCs w:val="24"/>
        </w:rPr>
        <w:t xml:space="preserve"> be stayed as an abuse of the process of the court</w:t>
      </w:r>
      <w:r w:rsidR="00DD6304">
        <w:rPr>
          <w:sz w:val="24"/>
          <w:szCs w:val="24"/>
        </w:rPr>
        <w:t xml:space="preserve"> or taken over and discontinued by the CPS pursuant to its statutory powers.</w:t>
      </w:r>
    </w:p>
    <w:p w:rsidR="00DD6304" w:rsidRDefault="00DD6304" w:rsidP="00DD6304">
      <w:pPr>
        <w:pStyle w:val="ListParagraph"/>
        <w:spacing w:line="360" w:lineRule="auto"/>
        <w:jc w:val="both"/>
        <w:rPr>
          <w:sz w:val="24"/>
          <w:szCs w:val="24"/>
        </w:rPr>
      </w:pPr>
    </w:p>
    <w:p w:rsidR="00DD6304" w:rsidRDefault="00DD6304" w:rsidP="00086BE7">
      <w:pPr>
        <w:pStyle w:val="ListParagraph"/>
        <w:numPr>
          <w:ilvl w:val="0"/>
          <w:numId w:val="1"/>
        </w:numPr>
        <w:spacing w:line="360" w:lineRule="auto"/>
        <w:jc w:val="both"/>
        <w:rPr>
          <w:sz w:val="24"/>
          <w:szCs w:val="24"/>
        </w:rPr>
      </w:pPr>
      <w:r>
        <w:rPr>
          <w:sz w:val="24"/>
          <w:szCs w:val="24"/>
        </w:rPr>
        <w:t>I advise accordingly, however, if I can be of any further assistance please do not hesitate to contact me.</w:t>
      </w:r>
    </w:p>
    <w:p w:rsidR="00DD6304" w:rsidRDefault="00DD6304" w:rsidP="00DD6304">
      <w:pPr>
        <w:pStyle w:val="ListParagraph"/>
        <w:rPr>
          <w:sz w:val="24"/>
          <w:szCs w:val="24"/>
        </w:rPr>
      </w:pPr>
    </w:p>
    <w:p w:rsidR="00DD6304" w:rsidRDefault="00DD6304" w:rsidP="00DD6304">
      <w:pPr>
        <w:pStyle w:val="ListParagraph"/>
        <w:rPr>
          <w:sz w:val="24"/>
          <w:szCs w:val="24"/>
        </w:rPr>
      </w:pPr>
    </w:p>
    <w:p w:rsidR="00DD6304" w:rsidRPr="00DD6304" w:rsidRDefault="00DD6304" w:rsidP="00DD6304">
      <w:pPr>
        <w:pStyle w:val="ListParagraph"/>
        <w:rPr>
          <w:sz w:val="24"/>
          <w:szCs w:val="24"/>
        </w:rPr>
      </w:pPr>
    </w:p>
    <w:p w:rsidR="00DD6304" w:rsidRDefault="00DD6304" w:rsidP="00DD6304">
      <w:pPr>
        <w:spacing w:line="360" w:lineRule="auto"/>
        <w:ind w:left="720"/>
        <w:jc w:val="both"/>
        <w:rPr>
          <w:sz w:val="24"/>
          <w:szCs w:val="24"/>
        </w:rPr>
      </w:pPr>
      <w:r>
        <w:rPr>
          <w:sz w:val="24"/>
          <w:szCs w:val="24"/>
        </w:rPr>
        <w:t>Brian O’Neill QC</w:t>
      </w:r>
    </w:p>
    <w:p w:rsidR="00DD6304" w:rsidRDefault="00DD6304" w:rsidP="00DD6304">
      <w:pPr>
        <w:spacing w:line="360" w:lineRule="auto"/>
        <w:ind w:left="720"/>
        <w:jc w:val="both"/>
        <w:rPr>
          <w:sz w:val="24"/>
          <w:szCs w:val="24"/>
        </w:rPr>
      </w:pPr>
      <w:r>
        <w:rPr>
          <w:sz w:val="24"/>
          <w:szCs w:val="24"/>
        </w:rPr>
        <w:t>2 Hare Court</w:t>
      </w:r>
    </w:p>
    <w:p w:rsidR="00DD6304" w:rsidRDefault="00DD6304" w:rsidP="00DD6304">
      <w:pPr>
        <w:spacing w:line="360" w:lineRule="auto"/>
        <w:ind w:left="720"/>
        <w:jc w:val="both"/>
        <w:rPr>
          <w:sz w:val="24"/>
          <w:szCs w:val="24"/>
        </w:rPr>
      </w:pPr>
      <w:r>
        <w:rPr>
          <w:sz w:val="24"/>
          <w:szCs w:val="24"/>
        </w:rPr>
        <w:t>Temple</w:t>
      </w:r>
    </w:p>
    <w:p w:rsidR="00052E48" w:rsidRDefault="00052E48" w:rsidP="00DD6304">
      <w:pPr>
        <w:spacing w:line="360" w:lineRule="auto"/>
        <w:ind w:left="720"/>
        <w:jc w:val="both"/>
        <w:rPr>
          <w:sz w:val="24"/>
          <w:szCs w:val="24"/>
        </w:rPr>
      </w:pPr>
      <w:bookmarkStart w:id="0" w:name="_GoBack"/>
      <w:bookmarkEnd w:id="0"/>
    </w:p>
    <w:p w:rsidR="00DD6304" w:rsidRDefault="00DD6304" w:rsidP="00DD6304">
      <w:pPr>
        <w:spacing w:line="360" w:lineRule="auto"/>
        <w:ind w:left="720"/>
        <w:jc w:val="both"/>
        <w:rPr>
          <w:sz w:val="24"/>
          <w:szCs w:val="24"/>
        </w:rPr>
      </w:pPr>
      <w:r>
        <w:rPr>
          <w:sz w:val="24"/>
          <w:szCs w:val="24"/>
        </w:rPr>
        <w:t>6</w:t>
      </w:r>
      <w:r w:rsidRPr="00DD6304">
        <w:rPr>
          <w:sz w:val="24"/>
          <w:szCs w:val="24"/>
          <w:vertAlign w:val="superscript"/>
        </w:rPr>
        <w:t>th</w:t>
      </w:r>
      <w:r>
        <w:rPr>
          <w:sz w:val="24"/>
          <w:szCs w:val="24"/>
        </w:rPr>
        <w:t xml:space="preserve"> February 2017</w:t>
      </w:r>
    </w:p>
    <w:p w:rsidR="00DD6304" w:rsidRPr="00DD6304" w:rsidRDefault="00DD6304" w:rsidP="00DD6304">
      <w:pPr>
        <w:spacing w:line="360" w:lineRule="auto"/>
        <w:ind w:left="720"/>
        <w:jc w:val="both"/>
        <w:rPr>
          <w:sz w:val="24"/>
          <w:szCs w:val="24"/>
        </w:rPr>
      </w:pPr>
    </w:p>
    <w:p w:rsidR="00D1354E" w:rsidRPr="00626B95" w:rsidRDefault="00D1354E" w:rsidP="00086BE7">
      <w:pPr>
        <w:pStyle w:val="ListParagraph"/>
        <w:spacing w:line="360" w:lineRule="auto"/>
        <w:jc w:val="both"/>
        <w:rPr>
          <w:sz w:val="24"/>
          <w:szCs w:val="24"/>
        </w:rPr>
      </w:pPr>
    </w:p>
    <w:sectPr w:rsidR="00D1354E" w:rsidRPr="00626B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304" w:rsidRDefault="00DD6304" w:rsidP="00DD6304">
      <w:pPr>
        <w:spacing w:after="0" w:line="240" w:lineRule="auto"/>
      </w:pPr>
      <w:r>
        <w:separator/>
      </w:r>
    </w:p>
  </w:endnote>
  <w:endnote w:type="continuationSeparator" w:id="0">
    <w:p w:rsidR="00DD6304" w:rsidRDefault="00DD6304" w:rsidP="00DD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437175"/>
      <w:docPartObj>
        <w:docPartGallery w:val="Page Numbers (Bottom of Page)"/>
        <w:docPartUnique/>
      </w:docPartObj>
    </w:sdtPr>
    <w:sdtEndPr>
      <w:rPr>
        <w:color w:val="7F7F7F" w:themeColor="background1" w:themeShade="7F"/>
        <w:spacing w:val="60"/>
      </w:rPr>
    </w:sdtEndPr>
    <w:sdtContent>
      <w:p w:rsidR="00DD6304" w:rsidRDefault="00DD6304">
        <w:pPr>
          <w:pStyle w:val="Footer"/>
          <w:pBdr>
            <w:top w:val="single" w:sz="4" w:space="1" w:color="D9D9D9" w:themeColor="background1" w:themeShade="D9"/>
          </w:pBdr>
          <w:jc w:val="right"/>
        </w:pPr>
        <w:r>
          <w:fldChar w:fldCharType="begin"/>
        </w:r>
        <w:r>
          <w:instrText xml:space="preserve"> PAGE   \* MERGEFORMAT </w:instrText>
        </w:r>
        <w:r>
          <w:fldChar w:fldCharType="separate"/>
        </w:r>
        <w:r w:rsidR="00052E48">
          <w:rPr>
            <w:noProof/>
          </w:rPr>
          <w:t>3</w:t>
        </w:r>
        <w:r>
          <w:rPr>
            <w:noProof/>
          </w:rPr>
          <w:fldChar w:fldCharType="end"/>
        </w:r>
        <w:r>
          <w:t xml:space="preserve"> | </w:t>
        </w:r>
        <w:r>
          <w:rPr>
            <w:color w:val="7F7F7F" w:themeColor="background1" w:themeShade="7F"/>
            <w:spacing w:val="60"/>
          </w:rPr>
          <w:t>Page</w:t>
        </w:r>
      </w:p>
    </w:sdtContent>
  </w:sdt>
  <w:p w:rsidR="00DD6304" w:rsidRDefault="00DD6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304" w:rsidRDefault="00DD6304" w:rsidP="00DD6304">
      <w:pPr>
        <w:spacing w:after="0" w:line="240" w:lineRule="auto"/>
      </w:pPr>
      <w:r>
        <w:separator/>
      </w:r>
    </w:p>
  </w:footnote>
  <w:footnote w:type="continuationSeparator" w:id="0">
    <w:p w:rsidR="00DD6304" w:rsidRDefault="00DD6304" w:rsidP="00DD63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85DE4"/>
    <w:multiLevelType w:val="hybridMultilevel"/>
    <w:tmpl w:val="DA963FC0"/>
    <w:lvl w:ilvl="0" w:tplc="3AE604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6E64F0"/>
    <w:multiLevelType w:val="hybridMultilevel"/>
    <w:tmpl w:val="AB182F52"/>
    <w:lvl w:ilvl="0" w:tplc="65BC57F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54E"/>
    <w:rsid w:val="00052E48"/>
    <w:rsid w:val="00086BE7"/>
    <w:rsid w:val="0030670C"/>
    <w:rsid w:val="003323A7"/>
    <w:rsid w:val="00626B95"/>
    <w:rsid w:val="007462BF"/>
    <w:rsid w:val="00C507A0"/>
    <w:rsid w:val="00D1354E"/>
    <w:rsid w:val="00DD6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063E0-6ED8-4C43-87F0-84217E89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54E"/>
    <w:pPr>
      <w:ind w:left="720"/>
      <w:contextualSpacing/>
    </w:pPr>
  </w:style>
  <w:style w:type="paragraph" w:styleId="Header">
    <w:name w:val="header"/>
    <w:basedOn w:val="Normal"/>
    <w:link w:val="HeaderChar"/>
    <w:uiPriority w:val="99"/>
    <w:unhideWhenUsed/>
    <w:rsid w:val="00DD6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304"/>
  </w:style>
  <w:style w:type="paragraph" w:styleId="Footer">
    <w:name w:val="footer"/>
    <w:basedOn w:val="Normal"/>
    <w:link w:val="FooterChar"/>
    <w:uiPriority w:val="99"/>
    <w:unhideWhenUsed/>
    <w:rsid w:val="00DD6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56990">
      <w:bodyDiv w:val="1"/>
      <w:marLeft w:val="0"/>
      <w:marRight w:val="0"/>
      <w:marTop w:val="0"/>
      <w:marBottom w:val="0"/>
      <w:divBdr>
        <w:top w:val="none" w:sz="0" w:space="0" w:color="auto"/>
        <w:left w:val="none" w:sz="0" w:space="0" w:color="auto"/>
        <w:bottom w:val="none" w:sz="0" w:space="0" w:color="auto"/>
        <w:right w:val="none" w:sz="0" w:space="0" w:color="auto"/>
      </w:divBdr>
    </w:div>
    <w:div w:id="194480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6A35EA55</Template>
  <TotalTime>53</TotalTime>
  <Pages>3</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O'Neill QC</dc:creator>
  <cp:keywords/>
  <dc:description/>
  <cp:lastModifiedBy>Brian O'Neill QC</cp:lastModifiedBy>
  <cp:revision>3</cp:revision>
  <dcterms:created xsi:type="dcterms:W3CDTF">2017-02-06T15:35:00Z</dcterms:created>
  <dcterms:modified xsi:type="dcterms:W3CDTF">2017-02-06T16:28:00Z</dcterms:modified>
</cp:coreProperties>
</file>