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735" w:rsidRPr="006230B1" w:rsidRDefault="00A66735" w:rsidP="006230B1">
      <w:pPr>
        <w:spacing w:line="360" w:lineRule="auto"/>
        <w:jc w:val="both"/>
        <w:rPr>
          <w:b/>
          <w:sz w:val="24"/>
          <w:szCs w:val="24"/>
        </w:rPr>
      </w:pPr>
      <w:r w:rsidRPr="006230B1">
        <w:rPr>
          <w:b/>
          <w:sz w:val="24"/>
          <w:szCs w:val="24"/>
        </w:rPr>
        <w:t>IN THE MATTER OF A PRIVATE PROSECUTION</w:t>
      </w:r>
    </w:p>
    <w:p w:rsidR="00A66735" w:rsidRPr="006230B1" w:rsidRDefault="00A66735" w:rsidP="006230B1">
      <w:pPr>
        <w:spacing w:line="360" w:lineRule="auto"/>
        <w:jc w:val="both"/>
        <w:rPr>
          <w:b/>
          <w:sz w:val="24"/>
          <w:szCs w:val="24"/>
        </w:rPr>
      </w:pPr>
      <w:r w:rsidRPr="006230B1">
        <w:rPr>
          <w:b/>
          <w:sz w:val="24"/>
          <w:szCs w:val="24"/>
        </w:rPr>
        <w:t>BETWEEN:</w:t>
      </w:r>
    </w:p>
    <w:p w:rsidR="00A66735" w:rsidRPr="006230B1" w:rsidRDefault="00A66735" w:rsidP="006230B1">
      <w:pPr>
        <w:spacing w:line="360" w:lineRule="auto"/>
        <w:jc w:val="both"/>
        <w:rPr>
          <w:b/>
          <w:sz w:val="24"/>
          <w:szCs w:val="24"/>
        </w:rPr>
      </w:pPr>
    </w:p>
    <w:p w:rsidR="00A66735" w:rsidRPr="006230B1" w:rsidRDefault="00A66735" w:rsidP="006230B1">
      <w:pPr>
        <w:spacing w:line="360" w:lineRule="auto"/>
        <w:jc w:val="center"/>
        <w:rPr>
          <w:b/>
          <w:sz w:val="24"/>
          <w:szCs w:val="24"/>
        </w:rPr>
      </w:pPr>
      <w:proofErr w:type="spellStart"/>
      <w:r w:rsidRPr="006230B1">
        <w:rPr>
          <w:b/>
          <w:sz w:val="24"/>
          <w:szCs w:val="24"/>
        </w:rPr>
        <w:t>REALTIME</w:t>
      </w:r>
      <w:proofErr w:type="spellEnd"/>
      <w:r w:rsidRPr="006230B1">
        <w:rPr>
          <w:b/>
          <w:sz w:val="24"/>
          <w:szCs w:val="24"/>
        </w:rPr>
        <w:t xml:space="preserve"> ANALYSIS &amp; NEWS LIMITED [RAN]</w:t>
      </w:r>
    </w:p>
    <w:p w:rsidR="00A66735" w:rsidRPr="006230B1" w:rsidRDefault="00A66735" w:rsidP="006230B1">
      <w:pPr>
        <w:spacing w:line="360" w:lineRule="auto"/>
        <w:jc w:val="center"/>
        <w:rPr>
          <w:b/>
          <w:sz w:val="24"/>
          <w:szCs w:val="24"/>
        </w:rPr>
      </w:pPr>
      <w:r w:rsidRPr="006230B1">
        <w:rPr>
          <w:b/>
          <w:sz w:val="24"/>
          <w:szCs w:val="24"/>
        </w:rPr>
        <w:t>V</w:t>
      </w:r>
    </w:p>
    <w:p w:rsidR="00A66735" w:rsidRPr="006230B1" w:rsidRDefault="00A66735" w:rsidP="006230B1">
      <w:pPr>
        <w:spacing w:line="360" w:lineRule="auto"/>
        <w:jc w:val="center"/>
        <w:rPr>
          <w:b/>
          <w:sz w:val="24"/>
          <w:szCs w:val="24"/>
        </w:rPr>
      </w:pPr>
      <w:r w:rsidRPr="006230B1">
        <w:rPr>
          <w:b/>
          <w:sz w:val="24"/>
          <w:szCs w:val="24"/>
        </w:rPr>
        <w:t xml:space="preserve">MR </w:t>
      </w:r>
      <w:proofErr w:type="spellStart"/>
      <w:r w:rsidRPr="006230B1">
        <w:rPr>
          <w:b/>
          <w:sz w:val="24"/>
          <w:szCs w:val="24"/>
        </w:rPr>
        <w:t>RANVIR</w:t>
      </w:r>
      <w:proofErr w:type="spellEnd"/>
      <w:r w:rsidRPr="006230B1">
        <w:rPr>
          <w:b/>
          <w:sz w:val="24"/>
          <w:szCs w:val="24"/>
        </w:rPr>
        <w:t xml:space="preserve"> SINGH</w:t>
      </w:r>
    </w:p>
    <w:p w:rsidR="00A66735" w:rsidRPr="006230B1" w:rsidRDefault="00A66735" w:rsidP="006230B1">
      <w:pPr>
        <w:spacing w:line="360" w:lineRule="auto"/>
        <w:jc w:val="center"/>
        <w:rPr>
          <w:b/>
          <w:sz w:val="24"/>
          <w:szCs w:val="24"/>
        </w:rPr>
      </w:pPr>
      <w:r w:rsidRPr="006230B1">
        <w:rPr>
          <w:b/>
          <w:sz w:val="24"/>
          <w:szCs w:val="24"/>
        </w:rPr>
        <w:t>AND</w:t>
      </w:r>
    </w:p>
    <w:p w:rsidR="00A66735" w:rsidRPr="006230B1" w:rsidRDefault="00A66735" w:rsidP="006230B1">
      <w:pPr>
        <w:spacing w:line="360" w:lineRule="auto"/>
        <w:jc w:val="center"/>
        <w:rPr>
          <w:b/>
          <w:sz w:val="24"/>
          <w:szCs w:val="24"/>
        </w:rPr>
      </w:pPr>
      <w:r w:rsidRPr="006230B1">
        <w:rPr>
          <w:b/>
          <w:sz w:val="24"/>
          <w:szCs w:val="24"/>
        </w:rPr>
        <w:t>MRS SONIA SINGH</w:t>
      </w:r>
    </w:p>
    <w:p w:rsidR="00A66735" w:rsidRPr="006230B1" w:rsidRDefault="00A66735" w:rsidP="006230B1">
      <w:pPr>
        <w:spacing w:line="360" w:lineRule="auto"/>
        <w:jc w:val="center"/>
        <w:rPr>
          <w:b/>
          <w:sz w:val="24"/>
          <w:szCs w:val="24"/>
        </w:rPr>
      </w:pPr>
    </w:p>
    <w:p w:rsidR="00A66735" w:rsidRPr="006230B1" w:rsidRDefault="00A66735" w:rsidP="006230B1">
      <w:pPr>
        <w:spacing w:line="360" w:lineRule="auto"/>
        <w:jc w:val="center"/>
        <w:rPr>
          <w:b/>
          <w:sz w:val="24"/>
          <w:szCs w:val="24"/>
        </w:rPr>
      </w:pPr>
      <w:r w:rsidRPr="006230B1">
        <w:rPr>
          <w:b/>
          <w:sz w:val="24"/>
          <w:szCs w:val="24"/>
        </w:rPr>
        <w:t>SECOND ADVICE</w:t>
      </w:r>
    </w:p>
    <w:p w:rsidR="00A66735" w:rsidRPr="006230B1" w:rsidRDefault="00CF30E7" w:rsidP="006230B1">
      <w:pPr>
        <w:spacing w:line="360" w:lineRule="auto"/>
        <w:jc w:val="both"/>
        <w:rPr>
          <w:b/>
          <w:sz w:val="24"/>
          <w:szCs w:val="24"/>
        </w:rPr>
      </w:pPr>
      <w:r>
        <w:rPr>
          <w:b/>
          <w:sz w:val="24"/>
          <w:szCs w:val="24"/>
        </w:rPr>
        <w:tab/>
        <w:t>INTRODUCTION</w:t>
      </w:r>
    </w:p>
    <w:p w:rsidR="00A66735" w:rsidRPr="006230B1" w:rsidRDefault="00A66735" w:rsidP="006230B1">
      <w:pPr>
        <w:pStyle w:val="ListParagraph"/>
        <w:numPr>
          <w:ilvl w:val="0"/>
          <w:numId w:val="1"/>
        </w:numPr>
        <w:spacing w:line="360" w:lineRule="auto"/>
        <w:jc w:val="both"/>
        <w:rPr>
          <w:b/>
          <w:sz w:val="24"/>
          <w:szCs w:val="24"/>
        </w:rPr>
      </w:pPr>
      <w:r w:rsidRPr="006230B1">
        <w:rPr>
          <w:sz w:val="24"/>
          <w:szCs w:val="24"/>
        </w:rPr>
        <w:t>Further to my advice dated 6</w:t>
      </w:r>
      <w:r w:rsidRPr="006230B1">
        <w:rPr>
          <w:sz w:val="24"/>
          <w:szCs w:val="24"/>
          <w:vertAlign w:val="superscript"/>
        </w:rPr>
        <w:t>th</w:t>
      </w:r>
      <w:r w:rsidRPr="006230B1">
        <w:rPr>
          <w:sz w:val="24"/>
          <w:szCs w:val="24"/>
        </w:rPr>
        <w:t xml:space="preserve"> February 2017 I have been asked to advise </w:t>
      </w:r>
      <w:r w:rsidR="00502BAF" w:rsidRPr="006230B1">
        <w:rPr>
          <w:sz w:val="24"/>
          <w:szCs w:val="24"/>
        </w:rPr>
        <w:t>whether:</w:t>
      </w:r>
      <w:r w:rsidRPr="006230B1">
        <w:rPr>
          <w:sz w:val="24"/>
          <w:szCs w:val="24"/>
        </w:rPr>
        <w:t xml:space="preserve"> </w:t>
      </w:r>
    </w:p>
    <w:p w:rsidR="00A66735" w:rsidRPr="006230B1" w:rsidRDefault="00A66735" w:rsidP="006230B1">
      <w:pPr>
        <w:pStyle w:val="ListParagraph"/>
        <w:spacing w:line="360" w:lineRule="auto"/>
        <w:jc w:val="both"/>
        <w:rPr>
          <w:i/>
          <w:sz w:val="24"/>
          <w:szCs w:val="24"/>
        </w:rPr>
      </w:pPr>
      <w:r w:rsidRPr="006230B1">
        <w:rPr>
          <w:i/>
          <w:sz w:val="24"/>
          <w:szCs w:val="24"/>
        </w:rPr>
        <w:t xml:space="preserve">“there is any merit in pursuing a criminal prosecution for signing a false statement of truth in the Defence in the </w:t>
      </w:r>
      <w:proofErr w:type="spellStart"/>
      <w:r w:rsidRPr="006230B1">
        <w:rPr>
          <w:i/>
          <w:sz w:val="24"/>
          <w:szCs w:val="24"/>
        </w:rPr>
        <w:t>MNI</w:t>
      </w:r>
      <w:proofErr w:type="spellEnd"/>
      <w:r w:rsidRPr="006230B1">
        <w:rPr>
          <w:i/>
          <w:sz w:val="24"/>
          <w:szCs w:val="24"/>
        </w:rPr>
        <w:t xml:space="preserve"> Litigation and/or Mr Singh’s fraud/deceit in entering into the Settlement Agreement in the first action.”</w:t>
      </w:r>
    </w:p>
    <w:p w:rsidR="00A66735" w:rsidRDefault="00A66735" w:rsidP="006230B1">
      <w:pPr>
        <w:pStyle w:val="ListParagraph"/>
        <w:spacing w:line="360" w:lineRule="auto"/>
        <w:jc w:val="both"/>
        <w:rPr>
          <w:sz w:val="24"/>
          <w:szCs w:val="24"/>
        </w:rPr>
      </w:pPr>
    </w:p>
    <w:p w:rsidR="00CF30E7" w:rsidRPr="00CF30E7" w:rsidRDefault="00CF30E7" w:rsidP="006230B1">
      <w:pPr>
        <w:pStyle w:val="ListParagraph"/>
        <w:spacing w:line="360" w:lineRule="auto"/>
        <w:jc w:val="both"/>
        <w:rPr>
          <w:b/>
          <w:sz w:val="24"/>
          <w:szCs w:val="24"/>
        </w:rPr>
      </w:pPr>
      <w:proofErr w:type="spellStart"/>
      <w:r w:rsidRPr="00CF30E7">
        <w:rPr>
          <w:b/>
          <w:sz w:val="24"/>
          <w:szCs w:val="24"/>
        </w:rPr>
        <w:t>MNI</w:t>
      </w:r>
      <w:proofErr w:type="spellEnd"/>
    </w:p>
    <w:p w:rsidR="009516E1" w:rsidRPr="006230B1" w:rsidRDefault="00502BAF" w:rsidP="006230B1">
      <w:pPr>
        <w:pStyle w:val="ListParagraph"/>
        <w:numPr>
          <w:ilvl w:val="0"/>
          <w:numId w:val="1"/>
        </w:numPr>
        <w:spacing w:line="360" w:lineRule="auto"/>
        <w:jc w:val="both"/>
        <w:rPr>
          <w:b/>
          <w:sz w:val="24"/>
          <w:szCs w:val="24"/>
        </w:rPr>
      </w:pPr>
      <w:r w:rsidRPr="006230B1">
        <w:rPr>
          <w:sz w:val="24"/>
          <w:szCs w:val="24"/>
        </w:rPr>
        <w:t xml:space="preserve">The </w:t>
      </w:r>
      <w:proofErr w:type="spellStart"/>
      <w:r w:rsidRPr="006230B1">
        <w:rPr>
          <w:sz w:val="24"/>
          <w:szCs w:val="24"/>
        </w:rPr>
        <w:t>MNI</w:t>
      </w:r>
      <w:proofErr w:type="spellEnd"/>
      <w:r w:rsidRPr="006230B1">
        <w:rPr>
          <w:sz w:val="24"/>
          <w:szCs w:val="24"/>
        </w:rPr>
        <w:t xml:space="preserve"> litigation began in December 2014 when </w:t>
      </w:r>
      <w:proofErr w:type="spellStart"/>
      <w:r w:rsidRPr="006230B1">
        <w:rPr>
          <w:sz w:val="24"/>
          <w:szCs w:val="24"/>
        </w:rPr>
        <w:t>MNI</w:t>
      </w:r>
      <w:proofErr w:type="spellEnd"/>
      <w:r w:rsidRPr="006230B1">
        <w:rPr>
          <w:sz w:val="24"/>
          <w:szCs w:val="24"/>
        </w:rPr>
        <w:t xml:space="preserve"> commenced proceedings against RAN to which Mr Singh and the Cheung brothers were subsequently joined.  In the course thereof Mr Singh signed a false statement of truth to a re-amended defence to the claim</w:t>
      </w:r>
      <w:r w:rsidR="00CF30E7">
        <w:rPr>
          <w:sz w:val="24"/>
          <w:szCs w:val="24"/>
        </w:rPr>
        <w:t>,</w:t>
      </w:r>
      <w:r w:rsidRPr="006230B1">
        <w:rPr>
          <w:sz w:val="24"/>
          <w:szCs w:val="24"/>
        </w:rPr>
        <w:t xml:space="preserve"> upon his own behalf and on behalf of RAN.  RAN had no def</w:t>
      </w:r>
      <w:r w:rsidR="00CF30E7">
        <w:rPr>
          <w:sz w:val="24"/>
          <w:szCs w:val="24"/>
        </w:rPr>
        <w:t>e</w:t>
      </w:r>
      <w:r w:rsidRPr="006230B1">
        <w:rPr>
          <w:sz w:val="24"/>
          <w:szCs w:val="24"/>
        </w:rPr>
        <w:t xml:space="preserve">nce to the </w:t>
      </w:r>
      <w:proofErr w:type="spellStart"/>
      <w:r w:rsidRPr="006230B1">
        <w:rPr>
          <w:sz w:val="24"/>
          <w:szCs w:val="24"/>
        </w:rPr>
        <w:t>MNI</w:t>
      </w:r>
      <w:proofErr w:type="spellEnd"/>
      <w:r w:rsidRPr="006230B1">
        <w:rPr>
          <w:sz w:val="24"/>
          <w:szCs w:val="24"/>
        </w:rPr>
        <w:t xml:space="preserve"> claim and the action was settled in December 2015 with RAN paying </w:t>
      </w:r>
      <w:proofErr w:type="spellStart"/>
      <w:r w:rsidRPr="006230B1">
        <w:rPr>
          <w:sz w:val="24"/>
          <w:szCs w:val="24"/>
        </w:rPr>
        <w:t>MNI</w:t>
      </w:r>
      <w:proofErr w:type="spellEnd"/>
      <w:r w:rsidRPr="006230B1">
        <w:rPr>
          <w:sz w:val="24"/>
          <w:szCs w:val="24"/>
        </w:rPr>
        <w:t xml:space="preserve"> £950,000.  </w:t>
      </w:r>
      <w:proofErr w:type="spellStart"/>
      <w:r w:rsidRPr="006230B1">
        <w:rPr>
          <w:sz w:val="24"/>
          <w:szCs w:val="24"/>
        </w:rPr>
        <w:t>RAN’s</w:t>
      </w:r>
      <w:proofErr w:type="spellEnd"/>
      <w:r w:rsidRPr="006230B1">
        <w:rPr>
          <w:sz w:val="24"/>
          <w:szCs w:val="24"/>
        </w:rPr>
        <w:t xml:space="preserve"> costs were £76, 436.75 excluding VAT.</w:t>
      </w:r>
    </w:p>
    <w:p w:rsidR="009516E1" w:rsidRPr="006230B1" w:rsidRDefault="009516E1" w:rsidP="006230B1">
      <w:pPr>
        <w:pStyle w:val="ListParagraph"/>
        <w:spacing w:line="360" w:lineRule="auto"/>
        <w:jc w:val="both"/>
        <w:rPr>
          <w:b/>
          <w:sz w:val="24"/>
          <w:szCs w:val="24"/>
        </w:rPr>
      </w:pPr>
    </w:p>
    <w:p w:rsidR="009516E1" w:rsidRPr="006230B1" w:rsidRDefault="00502BAF" w:rsidP="006230B1">
      <w:pPr>
        <w:pStyle w:val="ListParagraph"/>
        <w:numPr>
          <w:ilvl w:val="0"/>
          <w:numId w:val="1"/>
        </w:numPr>
        <w:spacing w:line="360" w:lineRule="auto"/>
        <w:jc w:val="both"/>
        <w:rPr>
          <w:b/>
          <w:sz w:val="24"/>
          <w:szCs w:val="24"/>
        </w:rPr>
      </w:pPr>
      <w:r w:rsidRPr="006230B1">
        <w:rPr>
          <w:sz w:val="24"/>
          <w:szCs w:val="24"/>
        </w:rPr>
        <w:t xml:space="preserve">It is unclear to me whether the first action brought by RAN </w:t>
      </w:r>
      <w:r w:rsidR="009516E1" w:rsidRPr="006230B1">
        <w:rPr>
          <w:sz w:val="24"/>
          <w:szCs w:val="24"/>
        </w:rPr>
        <w:t xml:space="preserve">against Mr and Mrs Singh included a claim for his behaviour in respect of the </w:t>
      </w:r>
      <w:proofErr w:type="spellStart"/>
      <w:r w:rsidR="009516E1" w:rsidRPr="006230B1">
        <w:rPr>
          <w:sz w:val="24"/>
          <w:szCs w:val="24"/>
        </w:rPr>
        <w:t>MNI</w:t>
      </w:r>
      <w:proofErr w:type="spellEnd"/>
      <w:r w:rsidR="009516E1" w:rsidRPr="006230B1">
        <w:rPr>
          <w:sz w:val="24"/>
          <w:szCs w:val="24"/>
        </w:rPr>
        <w:t xml:space="preserve"> litigation or to reflect the losses which RAN had incurred in respect thereof.  If it did then this would appear to be an attempt to re-litigate that which has already been litigated and settled in the </w:t>
      </w:r>
      <w:r w:rsidR="009516E1" w:rsidRPr="006230B1">
        <w:rPr>
          <w:sz w:val="24"/>
          <w:szCs w:val="24"/>
        </w:rPr>
        <w:lastRenderedPageBreak/>
        <w:t>civil courts and for the same reasons as I set out in paragraph 12 of my earlier advice I am of the opinion that even if a court could be persuaded to issue a summons in the first place (which I consider unlikely as full disclosure of the terms of the settlement agreement would have to be made to the court) it is more probable than not that any such proceedings would be stayed as an abuse of the process of the court or taken over and discontinued by the CPS pursuant to its statutory powers.</w:t>
      </w:r>
    </w:p>
    <w:p w:rsidR="009516E1" w:rsidRPr="006230B1" w:rsidRDefault="009516E1" w:rsidP="006230B1">
      <w:pPr>
        <w:pStyle w:val="ListParagraph"/>
        <w:spacing w:line="360" w:lineRule="auto"/>
        <w:rPr>
          <w:b/>
          <w:sz w:val="24"/>
          <w:szCs w:val="24"/>
        </w:rPr>
      </w:pPr>
    </w:p>
    <w:p w:rsidR="009516E1" w:rsidRPr="006230B1" w:rsidRDefault="009516E1" w:rsidP="006230B1">
      <w:pPr>
        <w:pStyle w:val="ListParagraph"/>
        <w:numPr>
          <w:ilvl w:val="0"/>
          <w:numId w:val="1"/>
        </w:numPr>
        <w:spacing w:line="360" w:lineRule="auto"/>
        <w:jc w:val="both"/>
        <w:rPr>
          <w:b/>
          <w:sz w:val="24"/>
          <w:szCs w:val="24"/>
        </w:rPr>
      </w:pPr>
      <w:r w:rsidRPr="006230B1">
        <w:rPr>
          <w:sz w:val="24"/>
          <w:szCs w:val="24"/>
        </w:rPr>
        <w:t xml:space="preserve">If the first action brought by RAN against Mr and Mrs Singh did not include a claim for his behaviour in respect of the </w:t>
      </w:r>
      <w:proofErr w:type="spellStart"/>
      <w:r w:rsidRPr="006230B1">
        <w:rPr>
          <w:sz w:val="24"/>
          <w:szCs w:val="24"/>
        </w:rPr>
        <w:t>MNI</w:t>
      </w:r>
      <w:proofErr w:type="spellEnd"/>
      <w:r w:rsidRPr="006230B1">
        <w:rPr>
          <w:sz w:val="24"/>
          <w:szCs w:val="24"/>
        </w:rPr>
        <w:t xml:space="preserve"> litigation or to reflect the losses which RAN had incurred in respect thereof</w:t>
      </w:r>
      <w:r w:rsidR="00047CAC">
        <w:rPr>
          <w:sz w:val="24"/>
          <w:szCs w:val="24"/>
        </w:rPr>
        <w:t>,</w:t>
      </w:r>
      <w:r w:rsidRPr="006230B1">
        <w:rPr>
          <w:sz w:val="24"/>
          <w:szCs w:val="24"/>
        </w:rPr>
        <w:t xml:space="preserve"> the failure to do so at the time of that first action when RAN was aware thereof </w:t>
      </w:r>
      <w:r w:rsidR="003B7FB6" w:rsidRPr="006230B1">
        <w:rPr>
          <w:sz w:val="24"/>
          <w:szCs w:val="24"/>
        </w:rPr>
        <w:t>requires some explanation</w:t>
      </w:r>
      <w:r w:rsidR="00047CAC">
        <w:rPr>
          <w:sz w:val="24"/>
          <w:szCs w:val="24"/>
        </w:rPr>
        <w:t>.</w:t>
      </w:r>
    </w:p>
    <w:p w:rsidR="009516E1" w:rsidRDefault="009516E1" w:rsidP="006230B1">
      <w:pPr>
        <w:pStyle w:val="ListParagraph"/>
        <w:spacing w:line="360" w:lineRule="auto"/>
        <w:rPr>
          <w:b/>
          <w:sz w:val="24"/>
          <w:szCs w:val="24"/>
        </w:rPr>
      </w:pPr>
    </w:p>
    <w:p w:rsidR="009516E1" w:rsidRPr="006230B1" w:rsidRDefault="009516E1" w:rsidP="006230B1">
      <w:pPr>
        <w:pStyle w:val="ListParagraph"/>
        <w:numPr>
          <w:ilvl w:val="0"/>
          <w:numId w:val="1"/>
        </w:numPr>
        <w:spacing w:line="360" w:lineRule="auto"/>
        <w:jc w:val="both"/>
        <w:rPr>
          <w:sz w:val="24"/>
          <w:szCs w:val="24"/>
        </w:rPr>
      </w:pPr>
      <w:r w:rsidRPr="006230B1">
        <w:rPr>
          <w:sz w:val="24"/>
          <w:szCs w:val="24"/>
        </w:rPr>
        <w:t xml:space="preserve">Accordingly I </w:t>
      </w:r>
      <w:r w:rsidR="003B7FB6" w:rsidRPr="006230B1">
        <w:rPr>
          <w:sz w:val="24"/>
          <w:szCs w:val="24"/>
        </w:rPr>
        <w:t xml:space="preserve">am of the opinion that </w:t>
      </w:r>
      <w:r w:rsidR="003B7FB6" w:rsidRPr="006230B1">
        <w:rPr>
          <w:i/>
          <w:sz w:val="24"/>
          <w:szCs w:val="24"/>
        </w:rPr>
        <w:t xml:space="preserve">“pursuing a criminal prosecution for signing a false statement of truth in the Defence in the </w:t>
      </w:r>
      <w:proofErr w:type="spellStart"/>
      <w:r w:rsidR="003B7FB6" w:rsidRPr="006230B1">
        <w:rPr>
          <w:i/>
          <w:sz w:val="24"/>
          <w:szCs w:val="24"/>
        </w:rPr>
        <w:t>MNI</w:t>
      </w:r>
      <w:proofErr w:type="spellEnd"/>
      <w:r w:rsidR="003B7FB6" w:rsidRPr="006230B1">
        <w:rPr>
          <w:i/>
          <w:sz w:val="24"/>
          <w:szCs w:val="24"/>
        </w:rPr>
        <w:t xml:space="preserve"> Litigation” </w:t>
      </w:r>
      <w:r w:rsidR="003B7FB6" w:rsidRPr="006230B1">
        <w:rPr>
          <w:sz w:val="24"/>
          <w:szCs w:val="24"/>
        </w:rPr>
        <w:t>is lacking in merit.</w:t>
      </w:r>
    </w:p>
    <w:p w:rsidR="003B7FB6" w:rsidRDefault="003B7FB6" w:rsidP="006230B1">
      <w:pPr>
        <w:pStyle w:val="ListParagraph"/>
        <w:spacing w:line="360" w:lineRule="auto"/>
        <w:rPr>
          <w:sz w:val="24"/>
          <w:szCs w:val="24"/>
        </w:rPr>
      </w:pPr>
    </w:p>
    <w:p w:rsidR="00A57366" w:rsidRPr="006230B1" w:rsidRDefault="00A57366" w:rsidP="00A57366">
      <w:pPr>
        <w:pStyle w:val="ListParagraph"/>
        <w:spacing w:line="360" w:lineRule="auto"/>
        <w:rPr>
          <w:b/>
          <w:sz w:val="24"/>
          <w:szCs w:val="24"/>
        </w:rPr>
      </w:pPr>
      <w:r>
        <w:rPr>
          <w:b/>
          <w:sz w:val="24"/>
          <w:szCs w:val="24"/>
        </w:rPr>
        <w:t>CLAUSE 19</w:t>
      </w:r>
    </w:p>
    <w:p w:rsidR="003B7FB6" w:rsidRPr="006230B1" w:rsidRDefault="003B7FB6" w:rsidP="006230B1">
      <w:pPr>
        <w:pStyle w:val="ListParagraph"/>
        <w:numPr>
          <w:ilvl w:val="0"/>
          <w:numId w:val="1"/>
        </w:numPr>
        <w:spacing w:line="360" w:lineRule="auto"/>
        <w:jc w:val="both"/>
        <w:rPr>
          <w:sz w:val="24"/>
          <w:szCs w:val="24"/>
        </w:rPr>
      </w:pPr>
      <w:r w:rsidRPr="006230B1">
        <w:rPr>
          <w:sz w:val="24"/>
          <w:szCs w:val="24"/>
        </w:rPr>
        <w:t>There is, however, substantially more merit in “</w:t>
      </w:r>
      <w:r w:rsidRPr="006230B1">
        <w:rPr>
          <w:i/>
          <w:sz w:val="24"/>
          <w:szCs w:val="24"/>
        </w:rPr>
        <w:t>pursuing a criminal prosecution for Mr Singh’s fraud/deceit in entering into the Settlement Agreement in the first action.”</w:t>
      </w:r>
    </w:p>
    <w:p w:rsidR="003B7FB6" w:rsidRPr="006230B1" w:rsidRDefault="003B7FB6" w:rsidP="006230B1">
      <w:pPr>
        <w:pStyle w:val="ListParagraph"/>
        <w:spacing w:line="360" w:lineRule="auto"/>
        <w:rPr>
          <w:sz w:val="24"/>
          <w:szCs w:val="24"/>
        </w:rPr>
      </w:pPr>
    </w:p>
    <w:p w:rsidR="003B7FB6" w:rsidRPr="006230B1" w:rsidRDefault="003B7FB6" w:rsidP="006230B1">
      <w:pPr>
        <w:pStyle w:val="ListParagraph"/>
        <w:numPr>
          <w:ilvl w:val="0"/>
          <w:numId w:val="1"/>
        </w:numPr>
        <w:spacing w:line="360" w:lineRule="auto"/>
        <w:jc w:val="both"/>
        <w:rPr>
          <w:sz w:val="24"/>
          <w:szCs w:val="24"/>
        </w:rPr>
      </w:pPr>
      <w:r w:rsidRPr="006230B1">
        <w:rPr>
          <w:sz w:val="24"/>
          <w:szCs w:val="24"/>
        </w:rPr>
        <w:t>On 31</w:t>
      </w:r>
      <w:r w:rsidRPr="006230B1">
        <w:rPr>
          <w:sz w:val="24"/>
          <w:szCs w:val="24"/>
          <w:vertAlign w:val="superscript"/>
        </w:rPr>
        <w:t>st</w:t>
      </w:r>
      <w:r w:rsidRPr="006230B1">
        <w:rPr>
          <w:sz w:val="24"/>
          <w:szCs w:val="24"/>
        </w:rPr>
        <w:t xml:space="preserve"> May 2016 a settlement agreement was reached in respect of the first action.  The settlement sum in the agreement was £2,540,057.  In addition there was a discounted settlement sum of £2,040,057.  In accordance with the terms of the settlement agreement Mrs Singh transferred her shares and Mr &amp; Mrs Singh paid £1,859,630 in satisfaction of the discounted settlement sum. </w:t>
      </w:r>
    </w:p>
    <w:p w:rsidR="003B7FB6" w:rsidRPr="006230B1" w:rsidRDefault="003B7FB6" w:rsidP="006230B1">
      <w:pPr>
        <w:pStyle w:val="ListParagraph"/>
        <w:spacing w:line="360" w:lineRule="auto"/>
        <w:rPr>
          <w:sz w:val="24"/>
          <w:szCs w:val="24"/>
        </w:rPr>
      </w:pPr>
    </w:p>
    <w:p w:rsidR="003B7FB6" w:rsidRPr="006230B1" w:rsidRDefault="003B7FB6" w:rsidP="006230B1">
      <w:pPr>
        <w:pStyle w:val="ListParagraph"/>
        <w:numPr>
          <w:ilvl w:val="0"/>
          <w:numId w:val="1"/>
        </w:numPr>
        <w:spacing w:line="360" w:lineRule="auto"/>
        <w:jc w:val="both"/>
        <w:rPr>
          <w:sz w:val="24"/>
          <w:szCs w:val="24"/>
        </w:rPr>
      </w:pPr>
      <w:r w:rsidRPr="006230B1">
        <w:rPr>
          <w:sz w:val="24"/>
          <w:szCs w:val="24"/>
        </w:rPr>
        <w:t>Clause 9 thereof contained a non-prosecution agreement in respect of any future claims as defined by clause 1.11 of the agreement.</w:t>
      </w:r>
    </w:p>
    <w:p w:rsidR="003B7FB6" w:rsidRPr="006230B1" w:rsidRDefault="003B7FB6" w:rsidP="006230B1">
      <w:pPr>
        <w:pStyle w:val="ListParagraph"/>
        <w:spacing w:line="360" w:lineRule="auto"/>
        <w:rPr>
          <w:sz w:val="24"/>
          <w:szCs w:val="24"/>
        </w:rPr>
      </w:pPr>
    </w:p>
    <w:p w:rsidR="003B7FB6" w:rsidRPr="006230B1" w:rsidRDefault="003B7FB6" w:rsidP="006230B1">
      <w:pPr>
        <w:pStyle w:val="ListParagraph"/>
        <w:numPr>
          <w:ilvl w:val="0"/>
          <w:numId w:val="1"/>
        </w:numPr>
        <w:spacing w:line="360" w:lineRule="auto"/>
        <w:jc w:val="both"/>
        <w:rPr>
          <w:sz w:val="24"/>
          <w:szCs w:val="24"/>
        </w:rPr>
      </w:pPr>
      <w:r w:rsidRPr="006230B1">
        <w:rPr>
          <w:sz w:val="24"/>
          <w:szCs w:val="24"/>
        </w:rPr>
        <w:t>At clause 19 there was an agreement about non disparaging statements.</w:t>
      </w:r>
    </w:p>
    <w:p w:rsidR="003B7FB6" w:rsidRPr="006230B1" w:rsidRDefault="003B7FB6" w:rsidP="006230B1">
      <w:pPr>
        <w:pStyle w:val="ListParagraph"/>
        <w:spacing w:line="360" w:lineRule="auto"/>
        <w:rPr>
          <w:sz w:val="24"/>
          <w:szCs w:val="24"/>
        </w:rPr>
      </w:pPr>
    </w:p>
    <w:p w:rsidR="003B7FB6" w:rsidRPr="006230B1" w:rsidRDefault="003B7FB6" w:rsidP="006230B1">
      <w:pPr>
        <w:pStyle w:val="ListParagraph"/>
        <w:numPr>
          <w:ilvl w:val="0"/>
          <w:numId w:val="1"/>
        </w:numPr>
        <w:spacing w:line="360" w:lineRule="auto"/>
        <w:jc w:val="both"/>
        <w:rPr>
          <w:sz w:val="24"/>
          <w:szCs w:val="24"/>
        </w:rPr>
      </w:pPr>
      <w:r w:rsidRPr="006230B1">
        <w:rPr>
          <w:sz w:val="24"/>
          <w:szCs w:val="24"/>
        </w:rPr>
        <w:t>In his affidavit</w:t>
      </w:r>
      <w:r w:rsidR="00A57366">
        <w:rPr>
          <w:sz w:val="24"/>
          <w:szCs w:val="24"/>
        </w:rPr>
        <w:t xml:space="preserve"> in the second action </w:t>
      </w:r>
      <w:r w:rsidRPr="006230B1">
        <w:rPr>
          <w:sz w:val="24"/>
          <w:szCs w:val="24"/>
        </w:rPr>
        <w:t>dated 10</w:t>
      </w:r>
      <w:r w:rsidRPr="006230B1">
        <w:rPr>
          <w:sz w:val="24"/>
          <w:szCs w:val="24"/>
          <w:vertAlign w:val="superscript"/>
        </w:rPr>
        <w:t>th</w:t>
      </w:r>
      <w:r w:rsidRPr="006230B1">
        <w:rPr>
          <w:sz w:val="24"/>
          <w:szCs w:val="24"/>
        </w:rPr>
        <w:t xml:space="preserve"> November 2016 Mr George </w:t>
      </w:r>
      <w:proofErr w:type="spellStart"/>
      <w:r w:rsidRPr="006230B1">
        <w:rPr>
          <w:sz w:val="24"/>
          <w:szCs w:val="24"/>
        </w:rPr>
        <w:t>Busfeld</w:t>
      </w:r>
      <w:proofErr w:type="spellEnd"/>
      <w:r w:rsidRPr="006230B1">
        <w:rPr>
          <w:sz w:val="24"/>
          <w:szCs w:val="24"/>
        </w:rPr>
        <w:t>, a Director of RAN</w:t>
      </w:r>
      <w:r w:rsidR="00047CAC">
        <w:rPr>
          <w:sz w:val="24"/>
          <w:szCs w:val="24"/>
        </w:rPr>
        <w:t>,</w:t>
      </w:r>
      <w:r w:rsidRPr="006230B1">
        <w:rPr>
          <w:sz w:val="24"/>
          <w:szCs w:val="24"/>
        </w:rPr>
        <w:t xml:space="preserve"> states as follows</w:t>
      </w:r>
      <w:r w:rsidR="001A2B4F" w:rsidRPr="006230B1">
        <w:rPr>
          <w:sz w:val="24"/>
          <w:szCs w:val="24"/>
        </w:rPr>
        <w:t xml:space="preserve"> at paragraphs 9 and 10</w:t>
      </w:r>
      <w:r w:rsidRPr="006230B1">
        <w:rPr>
          <w:sz w:val="24"/>
          <w:szCs w:val="24"/>
        </w:rPr>
        <w:t>:</w:t>
      </w:r>
    </w:p>
    <w:p w:rsidR="001A2B4F" w:rsidRPr="006230B1" w:rsidRDefault="001A2B4F" w:rsidP="006230B1">
      <w:pPr>
        <w:spacing w:after="0" w:line="360" w:lineRule="auto"/>
        <w:ind w:left="1440"/>
        <w:jc w:val="both"/>
        <w:rPr>
          <w:rFonts w:eastAsia="Times New Roman" w:cs="Arial"/>
          <w:i/>
          <w:sz w:val="24"/>
          <w:szCs w:val="24"/>
        </w:rPr>
      </w:pPr>
      <w:r w:rsidRPr="006230B1">
        <w:rPr>
          <w:rFonts w:eastAsia="Times New Roman" w:cs="Arial"/>
          <w:i/>
          <w:sz w:val="24"/>
          <w:szCs w:val="24"/>
        </w:rPr>
        <w:t>It was also imperative for RAN that Mr and Mrs Singh undertook that they had not made and would not make any derogatory or disparaging comments about RAN or its officers, executives or employees. This was important given that RAN competes in a small community of news aggregation service providers and that after 10 years in the business, RS had extensive contacts in that marketplace. A clause was included in the settlement agreement which states:</w:t>
      </w:r>
    </w:p>
    <w:p w:rsidR="001A2B4F" w:rsidRPr="006230B1" w:rsidRDefault="001A2B4F" w:rsidP="006230B1">
      <w:pPr>
        <w:spacing w:after="0" w:line="360" w:lineRule="auto"/>
        <w:jc w:val="both"/>
        <w:rPr>
          <w:rFonts w:eastAsia="Times New Roman" w:cs="Arial"/>
          <w:i/>
          <w:sz w:val="24"/>
          <w:szCs w:val="24"/>
        </w:rPr>
      </w:pPr>
    </w:p>
    <w:p w:rsidR="001A2B4F" w:rsidRPr="006230B1" w:rsidRDefault="001A2B4F" w:rsidP="006230B1">
      <w:pPr>
        <w:spacing w:after="0" w:line="360" w:lineRule="auto"/>
        <w:ind w:left="1440" w:firstLine="11"/>
        <w:jc w:val="both"/>
        <w:rPr>
          <w:rFonts w:eastAsia="Times New Roman" w:cs="Arial"/>
          <w:i/>
          <w:sz w:val="24"/>
          <w:szCs w:val="24"/>
        </w:rPr>
      </w:pPr>
      <w:r w:rsidRPr="006230B1">
        <w:rPr>
          <w:rFonts w:eastAsia="Times New Roman" w:cs="Arial"/>
          <w:i/>
          <w:sz w:val="24"/>
          <w:szCs w:val="24"/>
        </w:rPr>
        <w:t>“19.</w:t>
      </w:r>
      <w:r w:rsidRPr="006230B1">
        <w:rPr>
          <w:rFonts w:eastAsia="Times New Roman" w:cs="Arial"/>
          <w:i/>
          <w:sz w:val="24"/>
          <w:szCs w:val="24"/>
        </w:rPr>
        <w:tab/>
        <w:t>Mr and Mrs Singh warrant that they have not and will not, whether directly or indirectly, make, publish or otherwise communicate (whether in writing or otherwise) to any third party (including employees of the RAN) other than their professional advisers, as required by law, or their immediate family (although Mr and Mrs Singh must procure that their immediate family keep any disclosure to them confidential and do not disclose the information to any third party):</w:t>
      </w:r>
    </w:p>
    <w:p w:rsidR="001A2B4F" w:rsidRPr="006230B1" w:rsidRDefault="001A2B4F" w:rsidP="006230B1">
      <w:pPr>
        <w:spacing w:after="0" w:line="360" w:lineRule="auto"/>
        <w:ind w:left="1429"/>
        <w:jc w:val="both"/>
        <w:rPr>
          <w:rFonts w:eastAsia="Times New Roman" w:cs="Arial"/>
          <w:i/>
          <w:sz w:val="24"/>
          <w:szCs w:val="24"/>
        </w:rPr>
      </w:pPr>
      <w:r w:rsidRPr="006230B1">
        <w:rPr>
          <w:rFonts w:eastAsia="Times New Roman" w:cs="Arial"/>
          <w:i/>
          <w:sz w:val="24"/>
          <w:szCs w:val="24"/>
        </w:rPr>
        <w:t>19.1</w:t>
      </w:r>
      <w:r w:rsidRPr="006230B1">
        <w:rPr>
          <w:rFonts w:eastAsia="Times New Roman" w:cs="Arial"/>
          <w:i/>
          <w:sz w:val="24"/>
          <w:szCs w:val="24"/>
        </w:rPr>
        <w:tab/>
        <w:t xml:space="preserve">any disparaging or derogatory statements about RAN or its officers, executives, or employees” </w:t>
      </w:r>
    </w:p>
    <w:p w:rsidR="001A2B4F" w:rsidRPr="006230B1" w:rsidRDefault="001A2B4F" w:rsidP="006230B1">
      <w:pPr>
        <w:spacing w:after="0" w:line="360" w:lineRule="auto"/>
        <w:ind w:left="709"/>
        <w:jc w:val="both"/>
        <w:rPr>
          <w:rFonts w:eastAsia="Times New Roman" w:cs="Arial"/>
          <w:i/>
          <w:sz w:val="24"/>
          <w:szCs w:val="24"/>
        </w:rPr>
      </w:pPr>
    </w:p>
    <w:p w:rsidR="001A2B4F" w:rsidRPr="006230B1" w:rsidRDefault="001A2B4F" w:rsidP="006230B1">
      <w:pPr>
        <w:pStyle w:val="ListParagraph"/>
        <w:spacing w:after="0" w:line="360" w:lineRule="auto"/>
        <w:ind w:left="1429"/>
        <w:jc w:val="both"/>
        <w:rPr>
          <w:rFonts w:eastAsia="Times New Roman" w:cs="Arial"/>
          <w:i/>
          <w:sz w:val="24"/>
          <w:szCs w:val="24"/>
        </w:rPr>
      </w:pPr>
      <w:r w:rsidRPr="006230B1">
        <w:rPr>
          <w:rFonts w:eastAsia="Times New Roman" w:cs="Arial"/>
          <w:i/>
          <w:sz w:val="24"/>
          <w:szCs w:val="24"/>
        </w:rPr>
        <w:t xml:space="preserve">The directors of RAN and I caused RAN to enter into the settlement agreement believing that the </w:t>
      </w:r>
      <w:proofErr w:type="spellStart"/>
      <w:r w:rsidRPr="006230B1">
        <w:rPr>
          <w:rFonts w:eastAsia="Times New Roman" w:cs="Arial"/>
          <w:i/>
          <w:sz w:val="24"/>
          <w:szCs w:val="24"/>
        </w:rPr>
        <w:t>Singhs</w:t>
      </w:r>
      <w:proofErr w:type="spellEnd"/>
      <w:r w:rsidRPr="006230B1">
        <w:rPr>
          <w:rFonts w:eastAsia="Times New Roman" w:cs="Arial"/>
          <w:i/>
          <w:sz w:val="24"/>
          <w:szCs w:val="24"/>
        </w:rPr>
        <w:t xml:space="preserve"> intended to comply with clause 19.1 (above) and that they had not previously made any disparaging or derogatory statements to RAN. Clearly RAN would not have discounted its claim, ceased its investigations, and then further discounted the Settlement Sum, or indeed agreed to any settlement whatsoever had it known that RS had vindictively set out to prevent RAN from being able to benefit from the settlement sum, and to damage </w:t>
      </w:r>
      <w:proofErr w:type="spellStart"/>
      <w:r w:rsidRPr="006230B1">
        <w:rPr>
          <w:rFonts w:eastAsia="Times New Roman" w:cs="Arial"/>
          <w:i/>
          <w:sz w:val="24"/>
          <w:szCs w:val="24"/>
        </w:rPr>
        <w:t>RAN’s</w:t>
      </w:r>
      <w:proofErr w:type="spellEnd"/>
      <w:r w:rsidRPr="006230B1">
        <w:rPr>
          <w:rFonts w:eastAsia="Times New Roman" w:cs="Arial"/>
          <w:i/>
          <w:sz w:val="24"/>
          <w:szCs w:val="24"/>
        </w:rPr>
        <w:t xml:space="preserve"> reputation in the marketplace, by providing disparaging information to a third party in an attempt to persuade it to make a claim against it and expropriate the settlement payment (see further below).</w:t>
      </w:r>
    </w:p>
    <w:p w:rsidR="003B7FB6" w:rsidRPr="006230B1" w:rsidRDefault="003B7FB6" w:rsidP="006230B1">
      <w:pPr>
        <w:pStyle w:val="ListParagraph"/>
        <w:spacing w:line="360" w:lineRule="auto"/>
        <w:rPr>
          <w:sz w:val="24"/>
          <w:szCs w:val="24"/>
        </w:rPr>
      </w:pPr>
    </w:p>
    <w:p w:rsidR="003B7FB6" w:rsidRPr="006230B1" w:rsidRDefault="006230B1" w:rsidP="006230B1">
      <w:pPr>
        <w:pStyle w:val="ListParagraph"/>
        <w:numPr>
          <w:ilvl w:val="0"/>
          <w:numId w:val="1"/>
        </w:numPr>
        <w:spacing w:line="360" w:lineRule="auto"/>
        <w:jc w:val="both"/>
        <w:rPr>
          <w:sz w:val="24"/>
          <w:szCs w:val="24"/>
        </w:rPr>
      </w:pPr>
      <w:r w:rsidRPr="006230B1">
        <w:rPr>
          <w:sz w:val="24"/>
          <w:szCs w:val="24"/>
        </w:rPr>
        <w:t xml:space="preserve">Further in his affidavit Mr </w:t>
      </w:r>
      <w:proofErr w:type="spellStart"/>
      <w:r w:rsidRPr="006230B1">
        <w:rPr>
          <w:sz w:val="24"/>
          <w:szCs w:val="24"/>
        </w:rPr>
        <w:t>Busfeld</w:t>
      </w:r>
      <w:proofErr w:type="spellEnd"/>
      <w:r w:rsidRPr="006230B1">
        <w:rPr>
          <w:sz w:val="24"/>
          <w:szCs w:val="24"/>
        </w:rPr>
        <w:t xml:space="preserve"> states at paragraphs 25 to 28:</w:t>
      </w:r>
    </w:p>
    <w:p w:rsidR="006230B1" w:rsidRPr="006230B1" w:rsidRDefault="006230B1" w:rsidP="006230B1">
      <w:pPr>
        <w:pStyle w:val="ListParagraph"/>
        <w:spacing w:after="0" w:line="360" w:lineRule="auto"/>
        <w:ind w:left="1440"/>
        <w:jc w:val="both"/>
        <w:rPr>
          <w:rFonts w:eastAsia="Times New Roman" w:cs="Arial"/>
          <w:i/>
          <w:sz w:val="24"/>
          <w:szCs w:val="24"/>
        </w:rPr>
      </w:pPr>
      <w:r w:rsidRPr="006230B1">
        <w:rPr>
          <w:rFonts w:eastAsia="Times New Roman" w:cs="Arial"/>
          <w:i/>
          <w:sz w:val="24"/>
          <w:szCs w:val="24"/>
        </w:rPr>
        <w:t xml:space="preserve">Following the office move and the change in management I met Mr Brown and Mr Underwood at </w:t>
      </w:r>
      <w:proofErr w:type="spellStart"/>
      <w:r w:rsidRPr="006230B1">
        <w:rPr>
          <w:rFonts w:eastAsia="Times New Roman" w:cs="Arial"/>
          <w:i/>
          <w:sz w:val="24"/>
          <w:szCs w:val="24"/>
        </w:rPr>
        <w:t>RAN’s</w:t>
      </w:r>
      <w:proofErr w:type="spellEnd"/>
      <w:r w:rsidRPr="006230B1">
        <w:rPr>
          <w:rFonts w:eastAsia="Times New Roman" w:cs="Arial"/>
          <w:i/>
          <w:sz w:val="24"/>
          <w:szCs w:val="24"/>
        </w:rPr>
        <w:t xml:space="preserve"> new offices at 1 Fore Street, Moorgate, London around the 24 June 2016 when they detailed their pricing going forward and the quantum of historic fees they believed were due. The figures they gave would have resulted in the insolvency of RAN. Therefore, over the next few weeks and months we spoke repeatedly with Mr Brown and Mr Underwood to try and reach some sort of agreement to utilise their service whilst making some contribution in respect of the historic improper use of </w:t>
      </w:r>
      <w:proofErr w:type="spellStart"/>
      <w:r w:rsidRPr="006230B1">
        <w:rPr>
          <w:rFonts w:eastAsia="Times New Roman" w:cs="Arial"/>
          <w:i/>
          <w:sz w:val="24"/>
          <w:szCs w:val="24"/>
        </w:rPr>
        <w:t>TR’s</w:t>
      </w:r>
      <w:proofErr w:type="spellEnd"/>
      <w:r w:rsidRPr="006230B1">
        <w:rPr>
          <w:rFonts w:eastAsia="Times New Roman" w:cs="Arial"/>
          <w:i/>
          <w:sz w:val="24"/>
          <w:szCs w:val="24"/>
        </w:rPr>
        <w:t xml:space="preserve"> service. No such agreement has to this date been reached and </w:t>
      </w:r>
      <w:proofErr w:type="spellStart"/>
      <w:r w:rsidRPr="006230B1">
        <w:rPr>
          <w:rFonts w:eastAsia="Times New Roman" w:cs="Arial"/>
          <w:i/>
          <w:sz w:val="24"/>
          <w:szCs w:val="24"/>
        </w:rPr>
        <w:t>TR’s</w:t>
      </w:r>
      <w:proofErr w:type="spellEnd"/>
      <w:r w:rsidRPr="006230B1">
        <w:rPr>
          <w:rFonts w:eastAsia="Times New Roman" w:cs="Arial"/>
          <w:i/>
          <w:sz w:val="24"/>
          <w:szCs w:val="24"/>
        </w:rPr>
        <w:t xml:space="preserve"> current position is that it will not provide its service to RAN due to the past actions by RS and the company and it is reviewing its legal position internally. RAN is therefore no longer using the </w:t>
      </w:r>
      <w:proofErr w:type="spellStart"/>
      <w:r w:rsidRPr="006230B1">
        <w:rPr>
          <w:rFonts w:eastAsia="Times New Roman" w:cs="Arial"/>
          <w:i/>
          <w:sz w:val="24"/>
          <w:szCs w:val="24"/>
        </w:rPr>
        <w:t>TR</w:t>
      </w:r>
      <w:proofErr w:type="spellEnd"/>
      <w:r w:rsidRPr="006230B1">
        <w:rPr>
          <w:rFonts w:eastAsia="Times New Roman" w:cs="Arial"/>
          <w:i/>
          <w:sz w:val="24"/>
          <w:szCs w:val="24"/>
        </w:rPr>
        <w:t xml:space="preserve"> service.</w:t>
      </w:r>
    </w:p>
    <w:p w:rsidR="006230B1" w:rsidRPr="006230B1" w:rsidRDefault="006230B1" w:rsidP="006230B1">
      <w:pPr>
        <w:spacing w:after="0" w:line="360" w:lineRule="auto"/>
        <w:jc w:val="both"/>
        <w:rPr>
          <w:rFonts w:eastAsia="Times New Roman" w:cs="Arial"/>
          <w:i/>
          <w:sz w:val="24"/>
          <w:szCs w:val="24"/>
        </w:rPr>
      </w:pPr>
    </w:p>
    <w:p w:rsidR="006230B1" w:rsidRPr="006230B1" w:rsidRDefault="006230B1" w:rsidP="006230B1">
      <w:pPr>
        <w:pStyle w:val="ListParagraph"/>
        <w:spacing w:after="0" w:line="360" w:lineRule="auto"/>
        <w:ind w:left="1440"/>
        <w:jc w:val="both"/>
        <w:rPr>
          <w:rFonts w:eastAsia="Times New Roman" w:cs="Arial"/>
          <w:i/>
          <w:sz w:val="24"/>
          <w:szCs w:val="24"/>
        </w:rPr>
      </w:pPr>
      <w:r w:rsidRPr="006230B1">
        <w:rPr>
          <w:rFonts w:eastAsia="Times New Roman" w:cs="Arial"/>
          <w:i/>
          <w:sz w:val="24"/>
          <w:szCs w:val="24"/>
        </w:rPr>
        <w:t xml:space="preserve">It was around the same time that Mr Brown informed us that some serious allegations had been made to </w:t>
      </w:r>
      <w:proofErr w:type="spellStart"/>
      <w:r w:rsidRPr="006230B1">
        <w:rPr>
          <w:rFonts w:eastAsia="Times New Roman" w:cs="Arial"/>
          <w:i/>
          <w:sz w:val="24"/>
          <w:szCs w:val="24"/>
        </w:rPr>
        <w:t>TR</w:t>
      </w:r>
      <w:proofErr w:type="spellEnd"/>
      <w:r w:rsidRPr="006230B1">
        <w:rPr>
          <w:rFonts w:eastAsia="Times New Roman" w:cs="Arial"/>
          <w:i/>
          <w:sz w:val="24"/>
          <w:szCs w:val="24"/>
        </w:rPr>
        <w:t xml:space="preserve"> against RAN, its officers and staff.  However, I could not identify who was responsible for making the allegations from what Mr Brown told me. </w:t>
      </w:r>
    </w:p>
    <w:p w:rsidR="006230B1" w:rsidRPr="006230B1" w:rsidRDefault="006230B1" w:rsidP="006230B1">
      <w:pPr>
        <w:spacing w:after="0" w:line="360" w:lineRule="auto"/>
        <w:jc w:val="both"/>
        <w:rPr>
          <w:rFonts w:eastAsia="Times New Roman" w:cs="Arial"/>
          <w:i/>
          <w:sz w:val="24"/>
          <w:szCs w:val="24"/>
        </w:rPr>
      </w:pPr>
    </w:p>
    <w:p w:rsidR="006230B1" w:rsidRPr="006230B1" w:rsidRDefault="006230B1" w:rsidP="006230B1">
      <w:pPr>
        <w:pStyle w:val="ListParagraph"/>
        <w:spacing w:after="0" w:line="360" w:lineRule="auto"/>
        <w:ind w:left="1440"/>
        <w:jc w:val="both"/>
        <w:rPr>
          <w:rFonts w:eastAsia="Times New Roman" w:cs="Arial"/>
          <w:i/>
          <w:sz w:val="24"/>
          <w:szCs w:val="24"/>
        </w:rPr>
      </w:pPr>
      <w:r w:rsidRPr="006230B1">
        <w:rPr>
          <w:rFonts w:eastAsia="Times New Roman" w:cs="Arial"/>
          <w:i/>
          <w:sz w:val="24"/>
          <w:szCs w:val="24"/>
        </w:rPr>
        <w:t>Mr Brown did not share the full extent of the allegations, and the related email evidence until 5 September 2016 when he provided me with the extensive email history between himself ‘Patrick Thompson’ (actually RS under an alias) and R</w:t>
      </w:r>
      <w:r w:rsidR="00A57366">
        <w:rPr>
          <w:rFonts w:eastAsia="Times New Roman" w:cs="Arial"/>
          <w:i/>
          <w:sz w:val="24"/>
          <w:szCs w:val="24"/>
        </w:rPr>
        <w:t xml:space="preserve">S (using his own name). </w:t>
      </w:r>
      <w:r w:rsidRPr="006230B1">
        <w:rPr>
          <w:rFonts w:eastAsia="Times New Roman" w:cs="Arial"/>
          <w:i/>
          <w:sz w:val="24"/>
          <w:szCs w:val="24"/>
        </w:rPr>
        <w:t xml:space="preserve">The relevant emails from Mr Brown are at pages 20 - 224. It can be seen from these emails that RS’s attempts to disparage RAN to </w:t>
      </w:r>
      <w:proofErr w:type="spellStart"/>
      <w:r w:rsidRPr="006230B1">
        <w:rPr>
          <w:rFonts w:eastAsia="Times New Roman" w:cs="Arial"/>
          <w:i/>
          <w:sz w:val="24"/>
          <w:szCs w:val="24"/>
        </w:rPr>
        <w:t>TR</w:t>
      </w:r>
      <w:proofErr w:type="spellEnd"/>
      <w:r w:rsidRPr="006230B1">
        <w:rPr>
          <w:rFonts w:eastAsia="Times New Roman" w:cs="Arial"/>
          <w:i/>
          <w:sz w:val="24"/>
          <w:szCs w:val="24"/>
        </w:rPr>
        <w:t xml:space="preserve"> and to incite </w:t>
      </w:r>
      <w:proofErr w:type="spellStart"/>
      <w:r w:rsidRPr="006230B1">
        <w:rPr>
          <w:rFonts w:eastAsia="Times New Roman" w:cs="Arial"/>
          <w:i/>
          <w:sz w:val="24"/>
          <w:szCs w:val="24"/>
        </w:rPr>
        <w:t>TR</w:t>
      </w:r>
      <w:proofErr w:type="spellEnd"/>
      <w:r w:rsidRPr="006230B1">
        <w:rPr>
          <w:rFonts w:eastAsia="Times New Roman" w:cs="Arial"/>
          <w:i/>
          <w:sz w:val="24"/>
          <w:szCs w:val="24"/>
        </w:rPr>
        <w:t xml:space="preserve"> to litigate against RAN started before and continued after the signing of the settlement agreement. It is relevant to mention that RAN had carefully considered its offer of settlement to try and demonstrate some consideration for the </w:t>
      </w:r>
      <w:proofErr w:type="spellStart"/>
      <w:r w:rsidRPr="006230B1">
        <w:rPr>
          <w:rFonts w:eastAsia="Times New Roman" w:cs="Arial"/>
          <w:i/>
          <w:sz w:val="24"/>
          <w:szCs w:val="24"/>
        </w:rPr>
        <w:t>Singhs</w:t>
      </w:r>
      <w:proofErr w:type="spellEnd"/>
      <w:r w:rsidRPr="006230B1">
        <w:rPr>
          <w:rFonts w:eastAsia="Times New Roman" w:cs="Arial"/>
          <w:i/>
          <w:sz w:val="24"/>
          <w:szCs w:val="24"/>
        </w:rPr>
        <w:t xml:space="preserve"> by allowing them to retain enough funds to retain a family home.</w:t>
      </w:r>
    </w:p>
    <w:p w:rsidR="006230B1" w:rsidRPr="006230B1" w:rsidRDefault="006230B1" w:rsidP="006230B1">
      <w:pPr>
        <w:spacing w:after="0" w:line="360" w:lineRule="auto"/>
        <w:jc w:val="both"/>
        <w:rPr>
          <w:rFonts w:eastAsia="Times New Roman" w:cs="Arial"/>
          <w:i/>
          <w:sz w:val="24"/>
          <w:szCs w:val="24"/>
        </w:rPr>
      </w:pPr>
    </w:p>
    <w:p w:rsidR="006230B1" w:rsidRPr="006230B1" w:rsidRDefault="006230B1" w:rsidP="006230B1">
      <w:pPr>
        <w:pStyle w:val="ListParagraph"/>
        <w:spacing w:after="0" w:line="360" w:lineRule="auto"/>
        <w:ind w:left="1440"/>
        <w:jc w:val="both"/>
        <w:rPr>
          <w:rFonts w:eastAsia="Times New Roman" w:cs="Arial"/>
          <w:i/>
          <w:sz w:val="24"/>
          <w:szCs w:val="24"/>
        </w:rPr>
      </w:pPr>
      <w:r w:rsidRPr="006230B1">
        <w:rPr>
          <w:rFonts w:eastAsia="Times New Roman" w:cs="Arial"/>
          <w:i/>
          <w:sz w:val="24"/>
          <w:szCs w:val="24"/>
        </w:rPr>
        <w:t xml:space="preserve">However, the </w:t>
      </w:r>
      <w:proofErr w:type="spellStart"/>
      <w:r w:rsidRPr="006230B1">
        <w:rPr>
          <w:rFonts w:eastAsia="Times New Roman" w:cs="Arial"/>
          <w:i/>
          <w:sz w:val="24"/>
          <w:szCs w:val="24"/>
        </w:rPr>
        <w:t>Singhs</w:t>
      </w:r>
      <w:proofErr w:type="spellEnd"/>
      <w:r w:rsidRPr="006230B1">
        <w:rPr>
          <w:rFonts w:eastAsia="Times New Roman" w:cs="Arial"/>
          <w:i/>
          <w:sz w:val="24"/>
          <w:szCs w:val="24"/>
        </w:rPr>
        <w:t xml:space="preserve"> obviously had no intention of honouring the Settlement Agreement and were intent on causing further harm to RAN and the individuals from whom they had already stolen millions of pounds.</w:t>
      </w:r>
    </w:p>
    <w:p w:rsidR="006230B1" w:rsidRDefault="006230B1" w:rsidP="006230B1">
      <w:pPr>
        <w:spacing w:after="0" w:line="360" w:lineRule="auto"/>
        <w:jc w:val="both"/>
        <w:rPr>
          <w:rFonts w:eastAsia="Times New Roman" w:cs="Arial"/>
          <w:sz w:val="24"/>
          <w:szCs w:val="24"/>
        </w:rPr>
      </w:pPr>
    </w:p>
    <w:p w:rsidR="00A57366" w:rsidRPr="006230B1" w:rsidRDefault="00A57366" w:rsidP="006230B1">
      <w:pPr>
        <w:spacing w:after="0" w:line="360" w:lineRule="auto"/>
        <w:jc w:val="both"/>
        <w:rPr>
          <w:rFonts w:eastAsia="Times New Roman" w:cs="Arial"/>
          <w:sz w:val="24"/>
          <w:szCs w:val="24"/>
        </w:rPr>
      </w:pPr>
    </w:p>
    <w:p w:rsidR="006230B1" w:rsidRDefault="006230B1" w:rsidP="006230B1">
      <w:pPr>
        <w:pStyle w:val="ListParagraph"/>
        <w:numPr>
          <w:ilvl w:val="0"/>
          <w:numId w:val="1"/>
        </w:numPr>
        <w:spacing w:after="0" w:line="360" w:lineRule="auto"/>
        <w:jc w:val="both"/>
        <w:rPr>
          <w:rFonts w:eastAsia="Times New Roman" w:cs="Arial"/>
          <w:sz w:val="24"/>
          <w:szCs w:val="24"/>
        </w:rPr>
      </w:pPr>
      <w:r w:rsidRPr="006230B1">
        <w:rPr>
          <w:rFonts w:eastAsia="Times New Roman" w:cs="Arial"/>
          <w:sz w:val="24"/>
          <w:szCs w:val="24"/>
        </w:rPr>
        <w:t xml:space="preserve">Although I have not seen evidence to this effect from Sonny Schneider and Adam Voce, Mr </w:t>
      </w:r>
      <w:proofErr w:type="spellStart"/>
      <w:r w:rsidRPr="006230B1">
        <w:rPr>
          <w:rFonts w:eastAsia="Times New Roman" w:cs="Arial"/>
          <w:sz w:val="24"/>
          <w:szCs w:val="24"/>
        </w:rPr>
        <w:t>Busfeld’s</w:t>
      </w:r>
      <w:proofErr w:type="spellEnd"/>
      <w:r w:rsidRPr="006230B1">
        <w:rPr>
          <w:rFonts w:eastAsia="Times New Roman" w:cs="Arial"/>
          <w:sz w:val="24"/>
          <w:szCs w:val="24"/>
        </w:rPr>
        <w:t xml:space="preserve"> co-directors</w:t>
      </w:r>
      <w:r w:rsidR="00245690">
        <w:rPr>
          <w:rFonts w:eastAsia="Times New Roman" w:cs="Arial"/>
          <w:sz w:val="24"/>
          <w:szCs w:val="24"/>
        </w:rPr>
        <w:t>,</w:t>
      </w:r>
      <w:r w:rsidRPr="006230B1">
        <w:rPr>
          <w:rFonts w:eastAsia="Times New Roman" w:cs="Arial"/>
          <w:sz w:val="24"/>
          <w:szCs w:val="24"/>
        </w:rPr>
        <w:t xml:space="preserve"> I </w:t>
      </w:r>
      <w:r w:rsidR="00245690">
        <w:rPr>
          <w:rFonts w:eastAsia="Times New Roman" w:cs="Arial"/>
          <w:sz w:val="24"/>
          <w:szCs w:val="24"/>
        </w:rPr>
        <w:t>am advis</w:t>
      </w:r>
      <w:r w:rsidRPr="006230B1">
        <w:rPr>
          <w:rFonts w:eastAsia="Times New Roman" w:cs="Arial"/>
          <w:sz w:val="24"/>
          <w:szCs w:val="24"/>
        </w:rPr>
        <w:t xml:space="preserve">ing </w:t>
      </w:r>
      <w:r w:rsidR="00245690">
        <w:rPr>
          <w:rFonts w:eastAsia="Times New Roman" w:cs="Arial"/>
          <w:sz w:val="24"/>
          <w:szCs w:val="24"/>
        </w:rPr>
        <w:t xml:space="preserve">on the basis </w:t>
      </w:r>
      <w:r w:rsidRPr="006230B1">
        <w:rPr>
          <w:rFonts w:eastAsia="Times New Roman" w:cs="Arial"/>
          <w:sz w:val="24"/>
          <w:szCs w:val="24"/>
        </w:rPr>
        <w:t>that each is able to give and will give similar evidence.  If there is such evidence I look forward to seeing the same.  If there is a difficulty in either man giving such evidence I trust I will be informed thereof at the earliest opportunity.</w:t>
      </w:r>
    </w:p>
    <w:p w:rsidR="000F5818" w:rsidRDefault="000F5818" w:rsidP="000F5818">
      <w:pPr>
        <w:pStyle w:val="ListParagraph"/>
        <w:spacing w:after="0" w:line="360" w:lineRule="auto"/>
        <w:jc w:val="both"/>
        <w:rPr>
          <w:rFonts w:eastAsia="Times New Roman" w:cs="Arial"/>
          <w:sz w:val="24"/>
          <w:szCs w:val="24"/>
        </w:rPr>
      </w:pPr>
    </w:p>
    <w:p w:rsidR="000F5818" w:rsidRPr="006230B1" w:rsidRDefault="000F5818" w:rsidP="006230B1">
      <w:pPr>
        <w:pStyle w:val="ListParagraph"/>
        <w:numPr>
          <w:ilvl w:val="0"/>
          <w:numId w:val="1"/>
        </w:numPr>
        <w:spacing w:after="0" w:line="360" w:lineRule="auto"/>
        <w:jc w:val="both"/>
        <w:rPr>
          <w:rFonts w:eastAsia="Times New Roman" w:cs="Arial"/>
          <w:sz w:val="24"/>
          <w:szCs w:val="24"/>
        </w:rPr>
      </w:pPr>
      <w:r>
        <w:rPr>
          <w:rFonts w:eastAsia="Times New Roman" w:cs="Arial"/>
          <w:sz w:val="24"/>
          <w:szCs w:val="24"/>
        </w:rPr>
        <w:t>In addition I would be assisted by having sight of the correspondence which gave rise to the settlement agreement and the terms thereof, especially clause 19 and the discounted sums which were agreed upon.  In due course a statement exhibiting the same will be required.</w:t>
      </w:r>
    </w:p>
    <w:p w:rsidR="006230B1" w:rsidRPr="006230B1" w:rsidRDefault="006230B1" w:rsidP="006230B1">
      <w:pPr>
        <w:pStyle w:val="ListParagraph"/>
        <w:spacing w:after="0" w:line="360" w:lineRule="auto"/>
        <w:jc w:val="both"/>
        <w:rPr>
          <w:rFonts w:eastAsia="Times New Roman" w:cs="Arial"/>
          <w:sz w:val="24"/>
          <w:szCs w:val="24"/>
        </w:rPr>
      </w:pPr>
    </w:p>
    <w:p w:rsidR="00047CAC" w:rsidRDefault="006230B1" w:rsidP="00047CAC">
      <w:pPr>
        <w:pStyle w:val="ListParagraph"/>
        <w:numPr>
          <w:ilvl w:val="0"/>
          <w:numId w:val="1"/>
        </w:numPr>
        <w:spacing w:after="0" w:line="360" w:lineRule="auto"/>
        <w:jc w:val="both"/>
        <w:rPr>
          <w:rFonts w:eastAsia="Times New Roman" w:cs="Arial"/>
          <w:sz w:val="24"/>
          <w:szCs w:val="24"/>
        </w:rPr>
      </w:pPr>
      <w:r>
        <w:rPr>
          <w:rFonts w:eastAsia="Times New Roman" w:cs="Arial"/>
          <w:sz w:val="24"/>
          <w:szCs w:val="24"/>
        </w:rPr>
        <w:t xml:space="preserve">In my opinion, a private prosecution based upon Mr Singh’s deceit in causing RAN to enter into a settlement agreement which he had already breached </w:t>
      </w:r>
      <w:r w:rsidR="00245690">
        <w:rPr>
          <w:rFonts w:eastAsia="Times New Roman" w:cs="Arial"/>
          <w:sz w:val="24"/>
          <w:szCs w:val="24"/>
        </w:rPr>
        <w:t xml:space="preserve">by virtue of the emails he had sent prior thereto and which he continued to breach thereafter is a separate action from the first action.  </w:t>
      </w:r>
    </w:p>
    <w:p w:rsidR="00047CAC" w:rsidRPr="00047CAC" w:rsidRDefault="00047CAC" w:rsidP="00047CAC">
      <w:pPr>
        <w:pStyle w:val="ListParagraph"/>
        <w:rPr>
          <w:rFonts w:eastAsia="Times New Roman" w:cs="Arial"/>
          <w:sz w:val="24"/>
          <w:szCs w:val="24"/>
        </w:rPr>
      </w:pPr>
    </w:p>
    <w:p w:rsidR="00047CAC" w:rsidRPr="00047CAC" w:rsidRDefault="00245690" w:rsidP="00047CAC">
      <w:pPr>
        <w:pStyle w:val="ListParagraph"/>
        <w:numPr>
          <w:ilvl w:val="0"/>
          <w:numId w:val="1"/>
        </w:numPr>
        <w:spacing w:after="0" w:line="360" w:lineRule="auto"/>
        <w:jc w:val="both"/>
        <w:rPr>
          <w:rFonts w:eastAsia="Times New Roman" w:cs="Arial"/>
          <w:sz w:val="24"/>
          <w:szCs w:val="24"/>
        </w:rPr>
      </w:pPr>
      <w:r w:rsidRPr="00047CAC">
        <w:rPr>
          <w:rFonts w:eastAsia="Times New Roman" w:cs="Arial"/>
          <w:sz w:val="24"/>
          <w:szCs w:val="24"/>
        </w:rPr>
        <w:t xml:space="preserve">However, the fact that a second civil action based upon the same factual matrix upon which the proposed private prosecution is based has already been commenced may </w:t>
      </w:r>
      <w:r w:rsidR="00047CAC" w:rsidRPr="00047CAC">
        <w:rPr>
          <w:rFonts w:eastAsia="Times New Roman" w:cs="Arial"/>
          <w:sz w:val="24"/>
          <w:szCs w:val="24"/>
        </w:rPr>
        <w:t xml:space="preserve">cause the </w:t>
      </w:r>
      <w:r w:rsidR="00047CAC">
        <w:rPr>
          <w:rFonts w:eastAsia="Times New Roman" w:cs="Arial"/>
          <w:sz w:val="24"/>
          <w:szCs w:val="24"/>
        </w:rPr>
        <w:t>court to regard the application for a summons</w:t>
      </w:r>
      <w:r w:rsidR="00047CAC" w:rsidRPr="00047CAC">
        <w:rPr>
          <w:sz w:val="24"/>
          <w:szCs w:val="24"/>
        </w:rPr>
        <w:t xml:space="preserve"> to be for a potentially improper purpose, namely to attempt to exert pressure in parallel proceedings (the second action).  </w:t>
      </w:r>
    </w:p>
    <w:p w:rsidR="00047CAC" w:rsidRPr="00047CAC" w:rsidRDefault="00047CAC" w:rsidP="00047CAC">
      <w:pPr>
        <w:pStyle w:val="ListParagraph"/>
        <w:rPr>
          <w:sz w:val="24"/>
          <w:szCs w:val="24"/>
        </w:rPr>
      </w:pPr>
    </w:p>
    <w:p w:rsidR="00047CAC" w:rsidRPr="000F5818" w:rsidRDefault="00047CAC" w:rsidP="00047CAC">
      <w:pPr>
        <w:pStyle w:val="ListParagraph"/>
        <w:numPr>
          <w:ilvl w:val="0"/>
          <w:numId w:val="1"/>
        </w:numPr>
        <w:spacing w:after="0" w:line="360" w:lineRule="auto"/>
        <w:jc w:val="both"/>
        <w:rPr>
          <w:rFonts w:eastAsia="Times New Roman" w:cs="Arial"/>
          <w:sz w:val="24"/>
          <w:szCs w:val="24"/>
        </w:rPr>
      </w:pPr>
      <w:r>
        <w:rPr>
          <w:rFonts w:eastAsia="Times New Roman" w:cs="Arial"/>
          <w:sz w:val="24"/>
          <w:szCs w:val="24"/>
        </w:rPr>
        <w:t>U</w:t>
      </w:r>
      <w:r>
        <w:rPr>
          <w:rFonts w:eastAsia="Times New Roman" w:cs="Arial"/>
          <w:sz w:val="24"/>
          <w:szCs w:val="24"/>
        </w:rPr>
        <w:t xml:space="preserve">nless that second action can be adjourned pending the outcome of the private prosecution or </w:t>
      </w:r>
      <w:r w:rsidR="000F5818">
        <w:rPr>
          <w:rFonts w:eastAsia="Times New Roman" w:cs="Arial"/>
          <w:sz w:val="24"/>
          <w:szCs w:val="24"/>
        </w:rPr>
        <w:t xml:space="preserve">an undertaking given to </w:t>
      </w:r>
      <w:r>
        <w:rPr>
          <w:rFonts w:eastAsia="Times New Roman" w:cs="Arial"/>
          <w:sz w:val="24"/>
          <w:szCs w:val="24"/>
        </w:rPr>
        <w:t>withdraw</w:t>
      </w:r>
      <w:r w:rsidR="000F5818">
        <w:rPr>
          <w:rFonts w:eastAsia="Times New Roman" w:cs="Arial"/>
          <w:sz w:val="24"/>
          <w:szCs w:val="24"/>
        </w:rPr>
        <w:t xml:space="preserve"> it</w:t>
      </w:r>
      <w:r>
        <w:rPr>
          <w:rFonts w:eastAsia="Times New Roman" w:cs="Arial"/>
          <w:sz w:val="24"/>
          <w:szCs w:val="24"/>
        </w:rPr>
        <w:t xml:space="preserve"> if a summons is issued</w:t>
      </w:r>
      <w:r w:rsidR="000F5818">
        <w:rPr>
          <w:rFonts w:eastAsia="Times New Roman" w:cs="Arial"/>
          <w:sz w:val="24"/>
          <w:szCs w:val="24"/>
        </w:rPr>
        <w:t>,</w:t>
      </w:r>
      <w:bookmarkStart w:id="0" w:name="_GoBack"/>
      <w:bookmarkEnd w:id="0"/>
      <w:r w:rsidR="000F5818">
        <w:rPr>
          <w:rFonts w:eastAsia="Times New Roman" w:cs="Arial"/>
          <w:sz w:val="24"/>
          <w:szCs w:val="24"/>
        </w:rPr>
        <w:t xml:space="preserve"> t</w:t>
      </w:r>
      <w:r w:rsidRPr="00047CAC">
        <w:rPr>
          <w:sz w:val="24"/>
          <w:szCs w:val="24"/>
        </w:rPr>
        <w:t>he court</w:t>
      </w:r>
      <w:r w:rsidR="000F5818">
        <w:rPr>
          <w:sz w:val="24"/>
          <w:szCs w:val="24"/>
        </w:rPr>
        <w:t xml:space="preserve"> may refuse the grant of a summons.</w:t>
      </w:r>
    </w:p>
    <w:p w:rsidR="000F5818" w:rsidRPr="000F5818" w:rsidRDefault="000F5818" w:rsidP="000F5818">
      <w:pPr>
        <w:pStyle w:val="ListParagraph"/>
        <w:rPr>
          <w:rFonts w:eastAsia="Times New Roman" w:cs="Arial"/>
          <w:sz w:val="24"/>
          <w:szCs w:val="24"/>
        </w:rPr>
      </w:pPr>
    </w:p>
    <w:p w:rsidR="000F5818" w:rsidRPr="00047CAC" w:rsidRDefault="000F5818" w:rsidP="00047CAC">
      <w:pPr>
        <w:pStyle w:val="ListParagraph"/>
        <w:numPr>
          <w:ilvl w:val="0"/>
          <w:numId w:val="1"/>
        </w:numPr>
        <w:spacing w:after="0" w:line="360" w:lineRule="auto"/>
        <w:jc w:val="both"/>
        <w:rPr>
          <w:rFonts w:eastAsia="Times New Roman" w:cs="Arial"/>
          <w:sz w:val="24"/>
          <w:szCs w:val="24"/>
        </w:rPr>
      </w:pPr>
      <w:r>
        <w:rPr>
          <w:rFonts w:eastAsia="Times New Roman" w:cs="Arial"/>
          <w:sz w:val="24"/>
          <w:szCs w:val="24"/>
        </w:rPr>
        <w:t>I would welcome the opportunity to discuss this in conference.</w:t>
      </w:r>
    </w:p>
    <w:p w:rsidR="00245690" w:rsidRPr="00245690" w:rsidRDefault="00245690" w:rsidP="00245690">
      <w:pPr>
        <w:pStyle w:val="ListParagraph"/>
        <w:rPr>
          <w:rFonts w:eastAsia="Times New Roman" w:cs="Arial"/>
          <w:sz w:val="24"/>
          <w:szCs w:val="24"/>
        </w:rPr>
      </w:pPr>
    </w:p>
    <w:p w:rsidR="00D103B2" w:rsidRDefault="00245690" w:rsidP="00D103B2">
      <w:pPr>
        <w:pStyle w:val="ListParagraph"/>
        <w:numPr>
          <w:ilvl w:val="0"/>
          <w:numId w:val="1"/>
        </w:numPr>
        <w:spacing w:after="0" w:line="360" w:lineRule="auto"/>
        <w:jc w:val="both"/>
        <w:rPr>
          <w:rFonts w:eastAsia="Times New Roman" w:cs="Arial"/>
          <w:sz w:val="24"/>
          <w:szCs w:val="24"/>
        </w:rPr>
      </w:pPr>
      <w:r>
        <w:rPr>
          <w:rFonts w:eastAsia="Times New Roman" w:cs="Arial"/>
          <w:sz w:val="24"/>
          <w:szCs w:val="24"/>
        </w:rPr>
        <w:t>The appropriate charge would be against Mr Singh alone, there being no evidence of which I am aware of Mrs Singh having written or sent any of the emails sent between 31</w:t>
      </w:r>
      <w:r w:rsidRPr="00245690">
        <w:rPr>
          <w:rFonts w:eastAsia="Times New Roman" w:cs="Arial"/>
          <w:sz w:val="24"/>
          <w:szCs w:val="24"/>
          <w:vertAlign w:val="superscript"/>
        </w:rPr>
        <w:t>st</w:t>
      </w:r>
      <w:r>
        <w:rPr>
          <w:rFonts w:eastAsia="Times New Roman" w:cs="Arial"/>
          <w:sz w:val="24"/>
          <w:szCs w:val="24"/>
        </w:rPr>
        <w:t xml:space="preserve"> March 2016 and 17</w:t>
      </w:r>
      <w:r w:rsidRPr="00245690">
        <w:rPr>
          <w:rFonts w:eastAsia="Times New Roman" w:cs="Arial"/>
          <w:sz w:val="24"/>
          <w:szCs w:val="24"/>
          <w:vertAlign w:val="superscript"/>
        </w:rPr>
        <w:t>th</w:t>
      </w:r>
      <w:r>
        <w:rPr>
          <w:rFonts w:eastAsia="Times New Roman" w:cs="Arial"/>
          <w:sz w:val="24"/>
          <w:szCs w:val="24"/>
        </w:rPr>
        <w:t xml:space="preserve"> May 2016, and between 6</w:t>
      </w:r>
      <w:r w:rsidRPr="00245690">
        <w:rPr>
          <w:rFonts w:eastAsia="Times New Roman" w:cs="Arial"/>
          <w:sz w:val="24"/>
          <w:szCs w:val="24"/>
          <w:vertAlign w:val="superscript"/>
        </w:rPr>
        <w:t>th</w:t>
      </w:r>
      <w:r>
        <w:rPr>
          <w:rFonts w:eastAsia="Times New Roman" w:cs="Arial"/>
          <w:sz w:val="24"/>
          <w:szCs w:val="24"/>
        </w:rPr>
        <w:t xml:space="preserve"> July 2016 and 10</w:t>
      </w:r>
      <w:r w:rsidRPr="00245690">
        <w:rPr>
          <w:rFonts w:eastAsia="Times New Roman" w:cs="Arial"/>
          <w:sz w:val="24"/>
          <w:szCs w:val="24"/>
          <w:vertAlign w:val="superscript"/>
        </w:rPr>
        <w:t>th</w:t>
      </w:r>
      <w:r>
        <w:rPr>
          <w:rFonts w:eastAsia="Times New Roman" w:cs="Arial"/>
          <w:sz w:val="24"/>
          <w:szCs w:val="24"/>
        </w:rPr>
        <w:t xml:space="preserve"> August 2016.</w:t>
      </w:r>
      <w:r w:rsidR="00A57366" w:rsidRPr="00A57366">
        <w:rPr>
          <w:rFonts w:eastAsia="Times New Roman" w:cs="Arial"/>
          <w:sz w:val="24"/>
          <w:szCs w:val="24"/>
        </w:rPr>
        <w:t xml:space="preserve"> </w:t>
      </w:r>
      <w:r w:rsidR="00A57366" w:rsidRPr="006230B1">
        <w:rPr>
          <w:rFonts w:eastAsia="Times New Roman" w:cs="Arial"/>
          <w:sz w:val="24"/>
          <w:szCs w:val="24"/>
        </w:rPr>
        <w:t xml:space="preserve"> If there is such evidence I look forward to seeing the same.  </w:t>
      </w:r>
    </w:p>
    <w:p w:rsidR="00D103B2" w:rsidRPr="00D103B2" w:rsidRDefault="00D103B2" w:rsidP="00D103B2">
      <w:pPr>
        <w:pStyle w:val="ListParagraph"/>
        <w:rPr>
          <w:rFonts w:eastAsia="Times New Roman" w:cs="Arial"/>
          <w:sz w:val="24"/>
          <w:szCs w:val="24"/>
        </w:rPr>
      </w:pPr>
    </w:p>
    <w:p w:rsidR="00D103B2" w:rsidRPr="00D103B2" w:rsidRDefault="00245690" w:rsidP="00D103B2">
      <w:pPr>
        <w:pStyle w:val="ListParagraph"/>
        <w:numPr>
          <w:ilvl w:val="0"/>
          <w:numId w:val="1"/>
        </w:numPr>
        <w:spacing w:after="0" w:line="360" w:lineRule="auto"/>
        <w:jc w:val="both"/>
        <w:rPr>
          <w:rFonts w:eastAsia="Times New Roman" w:cs="Arial"/>
          <w:sz w:val="24"/>
          <w:szCs w:val="24"/>
        </w:rPr>
      </w:pPr>
      <w:r w:rsidRPr="00D103B2">
        <w:rPr>
          <w:rFonts w:eastAsia="Times New Roman" w:cs="Arial"/>
          <w:sz w:val="24"/>
          <w:szCs w:val="24"/>
        </w:rPr>
        <w:t>On the material available to me and my current understanding thereof</w:t>
      </w:r>
      <w:r w:rsidR="00A57366">
        <w:rPr>
          <w:rFonts w:eastAsia="Times New Roman" w:cs="Arial"/>
          <w:sz w:val="24"/>
          <w:szCs w:val="24"/>
        </w:rPr>
        <w:t>,</w:t>
      </w:r>
      <w:r w:rsidRPr="00D103B2">
        <w:rPr>
          <w:rFonts w:eastAsia="Times New Roman" w:cs="Arial"/>
          <w:sz w:val="24"/>
          <w:szCs w:val="24"/>
        </w:rPr>
        <w:t xml:space="preserve"> the appropriate charge would be one of perverting the course of justice.</w:t>
      </w:r>
      <w:r w:rsidR="00D103B2" w:rsidRPr="00D103B2">
        <w:rPr>
          <w:rFonts w:eastAsia="Times New Roman" w:cs="Arial"/>
          <w:sz w:val="24"/>
          <w:szCs w:val="24"/>
        </w:rPr>
        <w:t xml:space="preserve">  </w:t>
      </w:r>
      <w:r w:rsidR="00D103B2" w:rsidRPr="00D103B2">
        <w:rPr>
          <w:bCs/>
          <w:sz w:val="24"/>
          <w:szCs w:val="24"/>
        </w:rPr>
        <w:t>Perverting</w:t>
      </w:r>
      <w:r w:rsidR="00D103B2">
        <w:rPr>
          <w:bCs/>
          <w:sz w:val="24"/>
          <w:szCs w:val="24"/>
        </w:rPr>
        <w:t xml:space="preserve"> </w:t>
      </w:r>
      <w:r w:rsidR="00D103B2" w:rsidRPr="00D103B2">
        <w:rPr>
          <w:sz w:val="24"/>
          <w:szCs w:val="24"/>
        </w:rPr>
        <w:t>the</w:t>
      </w:r>
      <w:r w:rsidR="00D103B2">
        <w:rPr>
          <w:sz w:val="24"/>
          <w:szCs w:val="24"/>
        </w:rPr>
        <w:t xml:space="preserve"> </w:t>
      </w:r>
      <w:r w:rsidR="00A57366">
        <w:rPr>
          <w:sz w:val="24"/>
          <w:szCs w:val="24"/>
        </w:rPr>
        <w:t>c</w:t>
      </w:r>
      <w:r w:rsidR="00D103B2" w:rsidRPr="00D103B2">
        <w:rPr>
          <w:bCs/>
          <w:sz w:val="24"/>
          <w:szCs w:val="24"/>
        </w:rPr>
        <w:t>ourse</w:t>
      </w:r>
      <w:r w:rsidR="00D103B2">
        <w:rPr>
          <w:bCs/>
          <w:sz w:val="24"/>
          <w:szCs w:val="24"/>
        </w:rPr>
        <w:t xml:space="preserve"> </w:t>
      </w:r>
      <w:r w:rsidR="00D103B2" w:rsidRPr="00D103B2">
        <w:rPr>
          <w:sz w:val="24"/>
          <w:szCs w:val="24"/>
        </w:rPr>
        <w:t>of</w:t>
      </w:r>
      <w:r w:rsidR="00D103B2">
        <w:rPr>
          <w:sz w:val="24"/>
          <w:szCs w:val="24"/>
        </w:rPr>
        <w:t xml:space="preserve"> </w:t>
      </w:r>
      <w:r w:rsidR="00A57366">
        <w:rPr>
          <w:sz w:val="24"/>
          <w:szCs w:val="24"/>
        </w:rPr>
        <w:t>j</w:t>
      </w:r>
      <w:r w:rsidR="00D103B2" w:rsidRPr="00D103B2">
        <w:rPr>
          <w:bCs/>
          <w:sz w:val="24"/>
          <w:szCs w:val="24"/>
        </w:rPr>
        <w:t>ustice</w:t>
      </w:r>
      <w:r w:rsidR="00D103B2">
        <w:rPr>
          <w:bCs/>
          <w:sz w:val="24"/>
          <w:szCs w:val="24"/>
        </w:rPr>
        <w:t xml:space="preserve"> </w:t>
      </w:r>
      <w:r w:rsidR="00D103B2" w:rsidRPr="00D103B2">
        <w:rPr>
          <w:sz w:val="24"/>
          <w:szCs w:val="24"/>
        </w:rPr>
        <w:t xml:space="preserve">is a common law offence which carries a maximum sentence of life imprisonment. </w:t>
      </w:r>
      <w:r w:rsidR="00A57366">
        <w:rPr>
          <w:sz w:val="24"/>
          <w:szCs w:val="24"/>
        </w:rPr>
        <w:t xml:space="preserve"> </w:t>
      </w:r>
      <w:r w:rsidR="00D103B2" w:rsidRPr="00D103B2">
        <w:rPr>
          <w:sz w:val="24"/>
          <w:szCs w:val="24"/>
        </w:rPr>
        <w:t>The offence is committed where a person or persons:</w:t>
      </w:r>
    </w:p>
    <w:p w:rsidR="00D103B2" w:rsidRPr="00D103B2" w:rsidRDefault="00D103B2" w:rsidP="00D103B2">
      <w:pPr>
        <w:pStyle w:val="ListParagraph"/>
        <w:numPr>
          <w:ilvl w:val="0"/>
          <w:numId w:val="6"/>
        </w:numPr>
        <w:spacing w:after="0" w:line="360" w:lineRule="auto"/>
        <w:contextualSpacing w:val="0"/>
        <w:jc w:val="both"/>
        <w:rPr>
          <w:sz w:val="24"/>
          <w:szCs w:val="24"/>
        </w:rPr>
      </w:pPr>
      <w:r w:rsidRPr="00D103B2">
        <w:rPr>
          <w:sz w:val="24"/>
          <w:szCs w:val="24"/>
        </w:rPr>
        <w:t>acts or embarks upon a course of conduct</w:t>
      </w:r>
      <w:r>
        <w:rPr>
          <w:sz w:val="24"/>
          <w:szCs w:val="24"/>
        </w:rPr>
        <w:t>;</w:t>
      </w:r>
    </w:p>
    <w:p w:rsidR="00D103B2" w:rsidRPr="00D103B2" w:rsidRDefault="00D103B2" w:rsidP="00D103B2">
      <w:pPr>
        <w:pStyle w:val="ListParagraph"/>
        <w:numPr>
          <w:ilvl w:val="0"/>
          <w:numId w:val="6"/>
        </w:numPr>
        <w:spacing w:after="0" w:line="360" w:lineRule="auto"/>
        <w:contextualSpacing w:val="0"/>
        <w:jc w:val="both"/>
        <w:rPr>
          <w:sz w:val="24"/>
          <w:szCs w:val="24"/>
        </w:rPr>
      </w:pPr>
      <w:r w:rsidRPr="00D103B2">
        <w:rPr>
          <w:sz w:val="24"/>
          <w:szCs w:val="24"/>
        </w:rPr>
        <w:t>which has a tendency to</w:t>
      </w:r>
      <w:r>
        <w:rPr>
          <w:sz w:val="24"/>
          <w:szCs w:val="24"/>
        </w:rPr>
        <w:t>;</w:t>
      </w:r>
      <w:r w:rsidRPr="00D103B2">
        <w:rPr>
          <w:sz w:val="24"/>
          <w:szCs w:val="24"/>
        </w:rPr>
        <w:t xml:space="preserve"> and</w:t>
      </w:r>
      <w:r>
        <w:rPr>
          <w:sz w:val="24"/>
          <w:szCs w:val="24"/>
        </w:rPr>
        <w:t>,</w:t>
      </w:r>
    </w:p>
    <w:p w:rsidR="00D103B2" w:rsidRDefault="00D103B2" w:rsidP="00D103B2">
      <w:pPr>
        <w:pStyle w:val="ListParagraph"/>
        <w:numPr>
          <w:ilvl w:val="0"/>
          <w:numId w:val="6"/>
        </w:numPr>
        <w:spacing w:after="0" w:line="360" w:lineRule="auto"/>
        <w:contextualSpacing w:val="0"/>
        <w:jc w:val="both"/>
        <w:rPr>
          <w:sz w:val="24"/>
          <w:szCs w:val="24"/>
        </w:rPr>
      </w:pPr>
      <w:r w:rsidRPr="00D103B2">
        <w:rPr>
          <w:sz w:val="24"/>
          <w:szCs w:val="24"/>
        </w:rPr>
        <w:t>is intended to</w:t>
      </w:r>
      <w:r>
        <w:rPr>
          <w:sz w:val="24"/>
          <w:szCs w:val="24"/>
        </w:rPr>
        <w:t>;</w:t>
      </w:r>
      <w:r w:rsidRPr="00D103B2">
        <w:rPr>
          <w:sz w:val="24"/>
          <w:szCs w:val="24"/>
        </w:rPr>
        <w:t xml:space="preserve"> </w:t>
      </w:r>
    </w:p>
    <w:p w:rsidR="00245690" w:rsidRPr="00D103B2" w:rsidRDefault="00D103B2" w:rsidP="00D103B2">
      <w:pPr>
        <w:pStyle w:val="ListParagraph"/>
        <w:numPr>
          <w:ilvl w:val="0"/>
          <w:numId w:val="6"/>
        </w:numPr>
        <w:spacing w:after="0" w:line="360" w:lineRule="auto"/>
        <w:contextualSpacing w:val="0"/>
        <w:jc w:val="both"/>
        <w:rPr>
          <w:sz w:val="24"/>
          <w:szCs w:val="24"/>
        </w:rPr>
      </w:pPr>
      <w:r w:rsidRPr="00D103B2">
        <w:rPr>
          <w:sz w:val="24"/>
          <w:szCs w:val="24"/>
        </w:rPr>
        <w:t>pervert</w:t>
      </w:r>
      <w:r>
        <w:rPr>
          <w:sz w:val="24"/>
          <w:szCs w:val="24"/>
        </w:rPr>
        <w:t xml:space="preserve"> </w:t>
      </w:r>
      <w:r w:rsidRPr="00D103B2">
        <w:rPr>
          <w:sz w:val="24"/>
          <w:szCs w:val="24"/>
        </w:rPr>
        <w:t>the course of public justice</w:t>
      </w:r>
      <w:r>
        <w:rPr>
          <w:sz w:val="24"/>
          <w:szCs w:val="24"/>
        </w:rPr>
        <w:t>.</w:t>
      </w:r>
    </w:p>
    <w:p w:rsidR="00245690" w:rsidRPr="00245690" w:rsidRDefault="00245690" w:rsidP="00245690">
      <w:pPr>
        <w:pStyle w:val="ListParagraph"/>
        <w:rPr>
          <w:rFonts w:eastAsia="Times New Roman" w:cs="Arial"/>
          <w:sz w:val="24"/>
          <w:szCs w:val="24"/>
        </w:rPr>
      </w:pPr>
    </w:p>
    <w:p w:rsidR="008555DA" w:rsidRDefault="00D103B2" w:rsidP="00D103B2">
      <w:pPr>
        <w:pStyle w:val="ListParagraph"/>
        <w:numPr>
          <w:ilvl w:val="0"/>
          <w:numId w:val="1"/>
        </w:numPr>
        <w:spacing w:line="360" w:lineRule="auto"/>
        <w:jc w:val="both"/>
        <w:rPr>
          <w:sz w:val="24"/>
          <w:szCs w:val="24"/>
        </w:rPr>
      </w:pPr>
      <w:r>
        <w:rPr>
          <w:sz w:val="24"/>
          <w:szCs w:val="24"/>
        </w:rPr>
        <w:t xml:space="preserve">I look forward to discussing this </w:t>
      </w:r>
      <w:r w:rsidR="00A57366">
        <w:rPr>
          <w:sz w:val="24"/>
          <w:szCs w:val="24"/>
        </w:rPr>
        <w:t xml:space="preserve">and advising </w:t>
      </w:r>
      <w:r>
        <w:rPr>
          <w:sz w:val="24"/>
          <w:szCs w:val="24"/>
        </w:rPr>
        <w:t>further in conference.</w:t>
      </w:r>
    </w:p>
    <w:p w:rsidR="000F5818" w:rsidRDefault="000F5818" w:rsidP="000F5818">
      <w:pPr>
        <w:pStyle w:val="ListParagraph"/>
        <w:spacing w:line="360" w:lineRule="auto"/>
        <w:jc w:val="both"/>
        <w:rPr>
          <w:sz w:val="24"/>
          <w:szCs w:val="24"/>
        </w:rPr>
      </w:pPr>
    </w:p>
    <w:p w:rsidR="000F5818" w:rsidRDefault="000F5818" w:rsidP="000F5818">
      <w:pPr>
        <w:pStyle w:val="ListParagraph"/>
        <w:spacing w:line="360" w:lineRule="auto"/>
        <w:jc w:val="both"/>
        <w:rPr>
          <w:sz w:val="24"/>
          <w:szCs w:val="24"/>
        </w:rPr>
      </w:pPr>
    </w:p>
    <w:p w:rsidR="0098471F" w:rsidRDefault="0098471F" w:rsidP="0098471F">
      <w:pPr>
        <w:spacing w:line="360" w:lineRule="auto"/>
        <w:ind w:left="360"/>
        <w:jc w:val="both"/>
        <w:rPr>
          <w:sz w:val="24"/>
          <w:szCs w:val="24"/>
        </w:rPr>
      </w:pPr>
      <w:r>
        <w:rPr>
          <w:sz w:val="24"/>
          <w:szCs w:val="24"/>
        </w:rPr>
        <w:t>Brian O’Neill QC</w:t>
      </w:r>
    </w:p>
    <w:p w:rsidR="0098471F" w:rsidRDefault="0098471F" w:rsidP="0098471F">
      <w:pPr>
        <w:spacing w:line="360" w:lineRule="auto"/>
        <w:ind w:left="360"/>
        <w:jc w:val="both"/>
        <w:rPr>
          <w:sz w:val="24"/>
          <w:szCs w:val="24"/>
        </w:rPr>
      </w:pPr>
      <w:r>
        <w:rPr>
          <w:sz w:val="24"/>
          <w:szCs w:val="24"/>
        </w:rPr>
        <w:t>2 Hare Court</w:t>
      </w:r>
    </w:p>
    <w:p w:rsidR="0098471F" w:rsidRDefault="0098471F" w:rsidP="0098471F">
      <w:pPr>
        <w:spacing w:line="360" w:lineRule="auto"/>
        <w:ind w:left="360"/>
        <w:jc w:val="both"/>
        <w:rPr>
          <w:sz w:val="24"/>
          <w:szCs w:val="24"/>
        </w:rPr>
      </w:pPr>
      <w:r>
        <w:rPr>
          <w:sz w:val="24"/>
          <w:szCs w:val="24"/>
        </w:rPr>
        <w:t>Temple</w:t>
      </w:r>
    </w:p>
    <w:p w:rsidR="0098471F" w:rsidRDefault="0098471F" w:rsidP="0098471F">
      <w:pPr>
        <w:spacing w:line="360" w:lineRule="auto"/>
        <w:ind w:left="360"/>
        <w:jc w:val="both"/>
        <w:rPr>
          <w:sz w:val="24"/>
          <w:szCs w:val="24"/>
        </w:rPr>
      </w:pPr>
    </w:p>
    <w:p w:rsidR="0098471F" w:rsidRPr="0098471F" w:rsidRDefault="0098471F" w:rsidP="0098471F">
      <w:pPr>
        <w:spacing w:line="360" w:lineRule="auto"/>
        <w:ind w:left="360"/>
        <w:jc w:val="both"/>
        <w:rPr>
          <w:sz w:val="24"/>
          <w:szCs w:val="24"/>
        </w:rPr>
      </w:pPr>
      <w:r>
        <w:rPr>
          <w:sz w:val="24"/>
          <w:szCs w:val="24"/>
        </w:rPr>
        <w:t>1</w:t>
      </w:r>
      <w:r w:rsidR="000F5818">
        <w:rPr>
          <w:sz w:val="24"/>
          <w:szCs w:val="24"/>
        </w:rPr>
        <w:t>9</w:t>
      </w:r>
      <w:r w:rsidRPr="0098471F">
        <w:rPr>
          <w:sz w:val="24"/>
          <w:szCs w:val="24"/>
          <w:vertAlign w:val="superscript"/>
        </w:rPr>
        <w:t>th</w:t>
      </w:r>
      <w:r>
        <w:rPr>
          <w:sz w:val="24"/>
          <w:szCs w:val="24"/>
        </w:rPr>
        <w:t xml:space="preserve"> February 2017</w:t>
      </w:r>
    </w:p>
    <w:sectPr w:rsidR="0098471F" w:rsidRPr="0098471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366" w:rsidRDefault="00A57366" w:rsidP="00A57366">
      <w:pPr>
        <w:spacing w:after="0" w:line="240" w:lineRule="auto"/>
      </w:pPr>
      <w:r>
        <w:separator/>
      </w:r>
    </w:p>
  </w:endnote>
  <w:endnote w:type="continuationSeparator" w:id="0">
    <w:p w:rsidR="00A57366" w:rsidRDefault="00A57366" w:rsidP="00A5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236649"/>
      <w:docPartObj>
        <w:docPartGallery w:val="Page Numbers (Bottom of Page)"/>
        <w:docPartUnique/>
      </w:docPartObj>
    </w:sdtPr>
    <w:sdtEndPr>
      <w:rPr>
        <w:color w:val="7F7F7F" w:themeColor="background1" w:themeShade="7F"/>
        <w:spacing w:val="60"/>
      </w:rPr>
    </w:sdtEndPr>
    <w:sdtContent>
      <w:p w:rsidR="00A57366" w:rsidRDefault="00A573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7F82">
          <w:rPr>
            <w:noProof/>
          </w:rPr>
          <w:t>6</w:t>
        </w:r>
        <w:r>
          <w:rPr>
            <w:noProof/>
          </w:rPr>
          <w:fldChar w:fldCharType="end"/>
        </w:r>
        <w:r>
          <w:t xml:space="preserve"> | </w:t>
        </w:r>
        <w:r>
          <w:rPr>
            <w:color w:val="7F7F7F" w:themeColor="background1" w:themeShade="7F"/>
            <w:spacing w:val="60"/>
          </w:rPr>
          <w:t>Page</w:t>
        </w:r>
      </w:p>
    </w:sdtContent>
  </w:sdt>
  <w:p w:rsidR="00A57366" w:rsidRDefault="00A57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366" w:rsidRDefault="00A57366" w:rsidP="00A57366">
      <w:pPr>
        <w:spacing w:after="0" w:line="240" w:lineRule="auto"/>
      </w:pPr>
      <w:r>
        <w:separator/>
      </w:r>
    </w:p>
  </w:footnote>
  <w:footnote w:type="continuationSeparator" w:id="0">
    <w:p w:rsidR="00A57366" w:rsidRDefault="00A57366" w:rsidP="00A57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85DE4"/>
    <w:multiLevelType w:val="hybridMultilevel"/>
    <w:tmpl w:val="DA963FC0"/>
    <w:lvl w:ilvl="0" w:tplc="3AE604A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2100EB7"/>
    <w:multiLevelType w:val="hybridMultilevel"/>
    <w:tmpl w:val="F6C0A9D0"/>
    <w:lvl w:ilvl="0" w:tplc="0809000F">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2237C62"/>
    <w:multiLevelType w:val="hybridMultilevel"/>
    <w:tmpl w:val="2F649560"/>
    <w:lvl w:ilvl="0" w:tplc="554C9C54">
      <w:start w:val="1"/>
      <w:numFmt w:val="decimal"/>
      <w:lvlText w:val="%1."/>
      <w:lvlJc w:val="left"/>
      <w:pPr>
        <w:ind w:left="720" w:hanging="360"/>
      </w:pPr>
      <w:rPr>
        <w:b w:val="0"/>
        <w:i w:val="0"/>
      </w:r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6E64F0"/>
    <w:multiLevelType w:val="hybridMultilevel"/>
    <w:tmpl w:val="AB182F52"/>
    <w:lvl w:ilvl="0" w:tplc="65BC57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59CB1869"/>
    <w:multiLevelType w:val="hybridMultilevel"/>
    <w:tmpl w:val="42D0A994"/>
    <w:lvl w:ilvl="0" w:tplc="FC503A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9868B3"/>
    <w:multiLevelType w:val="hybridMultilevel"/>
    <w:tmpl w:val="63D093C8"/>
    <w:lvl w:ilvl="0" w:tplc="780620C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6B8762BB"/>
    <w:multiLevelType w:val="multilevel"/>
    <w:tmpl w:val="92B0E2DA"/>
    <w:lvl w:ilvl="0">
      <w:start w:val="1"/>
      <w:numFmt w:val="decimal"/>
      <w:lvlText w:val="%1."/>
      <w:lvlJc w:val="left"/>
      <w:pPr>
        <w:tabs>
          <w:tab w:val="num" w:pos="709"/>
        </w:tabs>
        <w:ind w:left="709"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35"/>
    <w:rsid w:val="00047CAC"/>
    <w:rsid w:val="000F5818"/>
    <w:rsid w:val="001A2B4F"/>
    <w:rsid w:val="00245690"/>
    <w:rsid w:val="003B7FB6"/>
    <w:rsid w:val="00502BAF"/>
    <w:rsid w:val="006230B1"/>
    <w:rsid w:val="008555DA"/>
    <w:rsid w:val="009516E1"/>
    <w:rsid w:val="0098471F"/>
    <w:rsid w:val="00A57366"/>
    <w:rsid w:val="00A66735"/>
    <w:rsid w:val="00B77F82"/>
    <w:rsid w:val="00CF30E7"/>
    <w:rsid w:val="00D10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6031B-4710-4BB7-A1D8-B359855F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3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735"/>
    <w:pPr>
      <w:ind w:left="720"/>
      <w:contextualSpacing/>
    </w:pPr>
  </w:style>
  <w:style w:type="paragraph" w:styleId="Header">
    <w:name w:val="header"/>
    <w:basedOn w:val="Normal"/>
    <w:link w:val="HeaderChar"/>
    <w:uiPriority w:val="99"/>
    <w:unhideWhenUsed/>
    <w:rsid w:val="00A57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366"/>
  </w:style>
  <w:style w:type="paragraph" w:styleId="Footer">
    <w:name w:val="footer"/>
    <w:basedOn w:val="Normal"/>
    <w:link w:val="FooterChar"/>
    <w:uiPriority w:val="99"/>
    <w:unhideWhenUsed/>
    <w:rsid w:val="00A57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4573">
      <w:bodyDiv w:val="1"/>
      <w:marLeft w:val="0"/>
      <w:marRight w:val="0"/>
      <w:marTop w:val="0"/>
      <w:marBottom w:val="0"/>
      <w:divBdr>
        <w:top w:val="none" w:sz="0" w:space="0" w:color="auto"/>
        <w:left w:val="none" w:sz="0" w:space="0" w:color="auto"/>
        <w:bottom w:val="none" w:sz="0" w:space="0" w:color="auto"/>
        <w:right w:val="none" w:sz="0" w:space="0" w:color="auto"/>
      </w:divBdr>
    </w:div>
    <w:div w:id="272447612">
      <w:bodyDiv w:val="1"/>
      <w:marLeft w:val="0"/>
      <w:marRight w:val="0"/>
      <w:marTop w:val="0"/>
      <w:marBottom w:val="0"/>
      <w:divBdr>
        <w:top w:val="none" w:sz="0" w:space="0" w:color="auto"/>
        <w:left w:val="none" w:sz="0" w:space="0" w:color="auto"/>
        <w:bottom w:val="none" w:sz="0" w:space="0" w:color="auto"/>
        <w:right w:val="none" w:sz="0" w:space="0" w:color="auto"/>
      </w:divBdr>
    </w:div>
    <w:div w:id="462308265">
      <w:bodyDiv w:val="1"/>
      <w:marLeft w:val="0"/>
      <w:marRight w:val="0"/>
      <w:marTop w:val="0"/>
      <w:marBottom w:val="0"/>
      <w:divBdr>
        <w:top w:val="none" w:sz="0" w:space="0" w:color="auto"/>
        <w:left w:val="none" w:sz="0" w:space="0" w:color="auto"/>
        <w:bottom w:val="none" w:sz="0" w:space="0" w:color="auto"/>
        <w:right w:val="none" w:sz="0" w:space="0" w:color="auto"/>
      </w:divBdr>
    </w:div>
    <w:div w:id="660893956">
      <w:bodyDiv w:val="1"/>
      <w:marLeft w:val="0"/>
      <w:marRight w:val="0"/>
      <w:marTop w:val="0"/>
      <w:marBottom w:val="0"/>
      <w:divBdr>
        <w:top w:val="none" w:sz="0" w:space="0" w:color="auto"/>
        <w:left w:val="none" w:sz="0" w:space="0" w:color="auto"/>
        <w:bottom w:val="none" w:sz="0" w:space="0" w:color="auto"/>
        <w:right w:val="none" w:sz="0" w:space="0" w:color="auto"/>
      </w:divBdr>
    </w:div>
    <w:div w:id="673534564">
      <w:bodyDiv w:val="1"/>
      <w:marLeft w:val="0"/>
      <w:marRight w:val="0"/>
      <w:marTop w:val="0"/>
      <w:marBottom w:val="0"/>
      <w:divBdr>
        <w:top w:val="none" w:sz="0" w:space="0" w:color="auto"/>
        <w:left w:val="none" w:sz="0" w:space="0" w:color="auto"/>
        <w:bottom w:val="none" w:sz="0" w:space="0" w:color="auto"/>
        <w:right w:val="none" w:sz="0" w:space="0" w:color="auto"/>
      </w:divBdr>
    </w:div>
    <w:div w:id="732779860">
      <w:bodyDiv w:val="1"/>
      <w:marLeft w:val="0"/>
      <w:marRight w:val="0"/>
      <w:marTop w:val="0"/>
      <w:marBottom w:val="0"/>
      <w:divBdr>
        <w:top w:val="none" w:sz="0" w:space="0" w:color="auto"/>
        <w:left w:val="none" w:sz="0" w:space="0" w:color="auto"/>
        <w:bottom w:val="none" w:sz="0" w:space="0" w:color="auto"/>
        <w:right w:val="none" w:sz="0" w:space="0" w:color="auto"/>
      </w:divBdr>
    </w:div>
    <w:div w:id="776601620">
      <w:bodyDiv w:val="1"/>
      <w:marLeft w:val="0"/>
      <w:marRight w:val="0"/>
      <w:marTop w:val="0"/>
      <w:marBottom w:val="0"/>
      <w:divBdr>
        <w:top w:val="none" w:sz="0" w:space="0" w:color="auto"/>
        <w:left w:val="none" w:sz="0" w:space="0" w:color="auto"/>
        <w:bottom w:val="none" w:sz="0" w:space="0" w:color="auto"/>
        <w:right w:val="none" w:sz="0" w:space="0" w:color="auto"/>
      </w:divBdr>
    </w:div>
    <w:div w:id="1274243664">
      <w:bodyDiv w:val="1"/>
      <w:marLeft w:val="0"/>
      <w:marRight w:val="0"/>
      <w:marTop w:val="0"/>
      <w:marBottom w:val="0"/>
      <w:divBdr>
        <w:top w:val="none" w:sz="0" w:space="0" w:color="auto"/>
        <w:left w:val="none" w:sz="0" w:space="0" w:color="auto"/>
        <w:bottom w:val="none" w:sz="0" w:space="0" w:color="auto"/>
        <w:right w:val="none" w:sz="0" w:space="0" w:color="auto"/>
      </w:divBdr>
    </w:div>
    <w:div w:id="1581016524">
      <w:bodyDiv w:val="1"/>
      <w:marLeft w:val="0"/>
      <w:marRight w:val="0"/>
      <w:marTop w:val="0"/>
      <w:marBottom w:val="0"/>
      <w:divBdr>
        <w:top w:val="none" w:sz="0" w:space="0" w:color="auto"/>
        <w:left w:val="none" w:sz="0" w:space="0" w:color="auto"/>
        <w:bottom w:val="none" w:sz="0" w:space="0" w:color="auto"/>
        <w:right w:val="none" w:sz="0" w:space="0" w:color="auto"/>
      </w:divBdr>
    </w:div>
    <w:div w:id="1687901719">
      <w:bodyDiv w:val="1"/>
      <w:marLeft w:val="0"/>
      <w:marRight w:val="0"/>
      <w:marTop w:val="0"/>
      <w:marBottom w:val="0"/>
      <w:divBdr>
        <w:top w:val="none" w:sz="0" w:space="0" w:color="auto"/>
        <w:left w:val="none" w:sz="0" w:space="0" w:color="auto"/>
        <w:bottom w:val="none" w:sz="0" w:space="0" w:color="auto"/>
        <w:right w:val="none" w:sz="0" w:space="0" w:color="auto"/>
      </w:divBdr>
    </w:div>
    <w:div w:id="186879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67D21B32</Template>
  <TotalTime>108</TotalTime>
  <Pages>6</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O'Neill QC</dc:creator>
  <cp:keywords/>
  <dc:description/>
  <cp:lastModifiedBy>Brian O'Neill QC</cp:lastModifiedBy>
  <cp:revision>8</cp:revision>
  <dcterms:created xsi:type="dcterms:W3CDTF">2017-02-16T16:17:00Z</dcterms:created>
  <dcterms:modified xsi:type="dcterms:W3CDTF">2017-02-19T11:06:00Z</dcterms:modified>
</cp:coreProperties>
</file>